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482717189"/>
      <w:bookmarkStart w:id="1" w:name="_Toc483666358"/>
      <w:bookmarkStart w:id="2" w:name="_Toc483227223"/>
      <w:bookmarkStart w:id="3" w:name="_Toc483400307"/>
      <w:bookmarkStart w:id="4" w:name="_Toc484532399"/>
    </w:p>
    <w:p>
      <w:pPr>
        <w:spacing w:after="158" w:afterLines="50"/>
        <w:jc w:val="center"/>
        <w:rPr>
          <w:b/>
          <w:szCs w:val="21"/>
          <w:lang w:eastAsia="zh-CN"/>
        </w:rPr>
      </w:pPr>
      <w:r>
        <w:rPr>
          <w:rFonts w:hint="eastAsia"/>
          <w:b/>
          <w:color w:val="000000" w:themeColor="text1"/>
          <w:sz w:val="28"/>
          <w:szCs w:val="28"/>
          <w:lang w:eastAsia="zh-CN"/>
        </w:rPr>
        <w:t>病毒性疫苗研究二室</w:t>
      </w:r>
      <w:r>
        <w:rPr>
          <w:b/>
          <w:color w:val="000000" w:themeColor="text1"/>
          <w:sz w:val="28"/>
          <w:szCs w:val="28"/>
          <w:lang w:eastAsia="zh-CN"/>
        </w:rPr>
        <w:t>粘度计</w:t>
      </w:r>
      <w:r>
        <w:rPr>
          <w:b/>
          <w:sz w:val="28"/>
          <w:szCs w:val="28"/>
          <w:lang w:eastAsia="zh-CN"/>
        </w:rPr>
        <w:t>用户需求说明（URS</w:t>
      </w:r>
      <w:r>
        <w:rPr>
          <w:b/>
          <w:szCs w:val="21"/>
          <w:lang w:eastAsia="zh-CN"/>
        </w:rPr>
        <w:t>）</w:t>
      </w:r>
      <w:bookmarkEnd w:id="0"/>
      <w:bookmarkEnd w:id="1"/>
      <w:bookmarkEnd w:id="2"/>
      <w:bookmarkEnd w:id="3"/>
      <w:bookmarkEnd w:id="4"/>
    </w:p>
    <w:p>
      <w:pPr>
        <w:pStyle w:val="33"/>
        <w:keepNext w:val="0"/>
        <w:keepLines w:val="0"/>
        <w:widowControl w:val="0"/>
        <w:spacing w:after="158" w:afterLines="50" w:line="240" w:lineRule="auto"/>
        <w:jc w:val="center"/>
        <w:rPr>
          <w:sz w:val="21"/>
          <w:szCs w:val="21"/>
          <w:lang w:val="zh-CN" w:eastAsia="zh-CN"/>
        </w:rPr>
      </w:pPr>
      <w:r>
        <w:rPr>
          <w:sz w:val="21"/>
          <w:szCs w:val="21"/>
          <w:lang w:val="zh-CN" w:eastAsia="zh-CN"/>
        </w:rPr>
        <w:t xml:space="preserve">目录 </w:t>
      </w:r>
    </w:p>
    <w:p>
      <w:pPr>
        <w:pStyle w:val="15"/>
        <w:rPr>
          <w:b w:val="0"/>
          <w:bCs w:val="0"/>
          <w:caps w:val="0"/>
          <w:szCs w:val="22"/>
        </w:rPr>
      </w:pPr>
      <w:permStart w:id="0" w:edGrp="everyone"/>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3"/>
        </w:rPr>
        <w:t>修订历史</w:t>
      </w:r>
      <w:r>
        <w:tab/>
      </w:r>
      <w:r>
        <w:fldChar w:fldCharType="begin"/>
      </w:r>
      <w:r>
        <w:instrText xml:space="preserve"> PAGEREF _Toc522716114 \h </w:instrText>
      </w:r>
      <w:r>
        <w:fldChar w:fldCharType="separate"/>
      </w:r>
      <w:r>
        <w:t>3</w:t>
      </w:r>
      <w:r>
        <w:fldChar w:fldCharType="end"/>
      </w:r>
      <w:r>
        <w:fldChar w:fldCharType="end"/>
      </w:r>
    </w:p>
    <w:p>
      <w:pPr>
        <w:pStyle w:val="15"/>
        <w:rPr>
          <w:b w:val="0"/>
          <w:bCs w:val="0"/>
          <w:caps w:val="0"/>
          <w:szCs w:val="22"/>
        </w:rPr>
      </w:pPr>
      <w:r>
        <w:fldChar w:fldCharType="begin"/>
      </w:r>
      <w:r>
        <w:instrText xml:space="preserve"> HYPERLINK \l "_Toc522716115" </w:instrText>
      </w:r>
      <w:r>
        <w:fldChar w:fldCharType="separate"/>
      </w:r>
      <w:r>
        <w:rPr>
          <w:rStyle w:val="23"/>
        </w:rPr>
        <w:t>1</w:t>
      </w:r>
      <w:r>
        <w:rPr>
          <w:b w:val="0"/>
          <w:bCs w:val="0"/>
          <w:caps w:val="0"/>
          <w:szCs w:val="22"/>
        </w:rPr>
        <w:tab/>
      </w:r>
      <w:r>
        <w:rPr>
          <w:rStyle w:val="23"/>
        </w:rPr>
        <w:t>目的</w:t>
      </w:r>
      <w:r>
        <w:tab/>
      </w:r>
      <w:r>
        <w:fldChar w:fldCharType="begin"/>
      </w:r>
      <w:r>
        <w:instrText xml:space="preserve"> PAGEREF _Toc522716115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"_Toc522716116" </w:instrText>
      </w:r>
      <w:r>
        <w:fldChar w:fldCharType="separate"/>
      </w:r>
      <w:r>
        <w:rPr>
          <w:rStyle w:val="23"/>
        </w:rPr>
        <w:t>2</w:t>
      </w:r>
      <w:r>
        <w:rPr>
          <w:b w:val="0"/>
          <w:bCs w:val="0"/>
          <w:caps w:val="0"/>
          <w:szCs w:val="22"/>
        </w:rPr>
        <w:tab/>
      </w:r>
      <w:r>
        <w:rPr>
          <w:rStyle w:val="23"/>
        </w:rPr>
        <w:t>范围</w:t>
      </w:r>
      <w:r>
        <w:tab/>
      </w:r>
      <w:r>
        <w:fldChar w:fldCharType="begin"/>
      </w:r>
      <w:r>
        <w:instrText xml:space="preserve"> PAGEREF _Toc522716116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"_Toc522716117" </w:instrText>
      </w:r>
      <w:r>
        <w:fldChar w:fldCharType="separate"/>
      </w:r>
      <w:r>
        <w:rPr>
          <w:rStyle w:val="23"/>
        </w:rPr>
        <w:t>3</w:t>
      </w:r>
      <w:r>
        <w:rPr>
          <w:b w:val="0"/>
          <w:bCs w:val="0"/>
          <w:caps w:val="0"/>
          <w:szCs w:val="22"/>
        </w:rPr>
        <w:tab/>
      </w:r>
      <w:r>
        <w:rPr>
          <w:rStyle w:val="23"/>
        </w:rPr>
        <w:t>参考文件</w:t>
      </w:r>
      <w:r>
        <w:tab/>
      </w:r>
      <w:r>
        <w:fldChar w:fldCharType="begin"/>
      </w:r>
      <w:r>
        <w:instrText xml:space="preserve"> PAGEREF _Toc522716117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"_Toc522716118" </w:instrText>
      </w:r>
      <w:r>
        <w:fldChar w:fldCharType="separate"/>
      </w:r>
      <w:r>
        <w:rPr>
          <w:rStyle w:val="23"/>
        </w:rPr>
        <w:t>4</w:t>
      </w:r>
      <w:r>
        <w:rPr>
          <w:b w:val="0"/>
          <w:bCs w:val="0"/>
          <w:caps w:val="0"/>
          <w:szCs w:val="22"/>
        </w:rPr>
        <w:tab/>
      </w:r>
      <w:r>
        <w:rPr>
          <w:rStyle w:val="23"/>
        </w:rPr>
        <w:t>职责</w:t>
      </w:r>
      <w:r>
        <w:tab/>
      </w:r>
      <w:r>
        <w:fldChar w:fldCharType="begin"/>
      </w:r>
      <w:r>
        <w:instrText xml:space="preserve"> PAGEREF _Toc522716118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"_Toc522716119" </w:instrText>
      </w:r>
      <w:r>
        <w:fldChar w:fldCharType="separate"/>
      </w:r>
      <w:r>
        <w:rPr>
          <w:rStyle w:val="23"/>
        </w:rPr>
        <w:t>5</w:t>
      </w:r>
      <w:r>
        <w:rPr>
          <w:b w:val="0"/>
          <w:bCs w:val="0"/>
          <w:caps w:val="0"/>
          <w:szCs w:val="22"/>
        </w:rPr>
        <w:tab/>
      </w:r>
      <w:r>
        <w:rPr>
          <w:rStyle w:val="23"/>
        </w:rPr>
        <w:t>系统描述</w:t>
      </w:r>
      <w:r>
        <w:tab/>
      </w:r>
      <w:r>
        <w:fldChar w:fldCharType="begin"/>
      </w:r>
      <w:r>
        <w:instrText xml:space="preserve"> PAGEREF _Toc522716119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"_Toc522716120" </w:instrText>
      </w:r>
      <w:r>
        <w:fldChar w:fldCharType="separate"/>
      </w:r>
      <w:r>
        <w:rPr>
          <w:rStyle w:val="23"/>
        </w:rPr>
        <w:t>6</w:t>
      </w:r>
      <w:r>
        <w:rPr>
          <w:b w:val="0"/>
          <w:bCs w:val="0"/>
          <w:caps w:val="0"/>
          <w:szCs w:val="22"/>
        </w:rPr>
        <w:tab/>
      </w:r>
      <w:r>
        <w:rPr>
          <w:rStyle w:val="23"/>
        </w:rPr>
        <w:t>安装要求</w:t>
      </w:r>
      <w:r>
        <w:tab/>
      </w:r>
      <w:r>
        <w:fldChar w:fldCharType="begin"/>
      </w:r>
      <w:r>
        <w:instrText xml:space="preserve"> PAGEREF _Toc522716120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"_Toc522716121" </w:instrText>
      </w:r>
      <w:r>
        <w:fldChar w:fldCharType="separate"/>
      </w:r>
      <w:r>
        <w:rPr>
          <w:rStyle w:val="23"/>
        </w:rPr>
        <w:t>7</w:t>
      </w:r>
      <w:r>
        <w:rPr>
          <w:b w:val="0"/>
          <w:bCs w:val="0"/>
          <w:caps w:val="0"/>
          <w:szCs w:val="22"/>
        </w:rPr>
        <w:tab/>
      </w:r>
      <w:r>
        <w:rPr>
          <w:rStyle w:val="23"/>
        </w:rPr>
        <w:t>运行要求</w:t>
      </w:r>
      <w:r>
        <w:tab/>
      </w:r>
      <w:r>
        <w:fldChar w:fldCharType="begin"/>
      </w:r>
      <w:r>
        <w:instrText xml:space="preserve"> PAGEREF _Toc522716121 \h </w:instrText>
      </w:r>
      <w:r>
        <w:fldChar w:fldCharType="separate"/>
      </w:r>
      <w:r>
        <w:t>6</w:t>
      </w:r>
      <w:r>
        <w:fldChar w:fldCharType="end"/>
      </w:r>
      <w:r>
        <w:fldChar w:fldCharType="end"/>
      </w:r>
    </w:p>
    <w:p>
      <w:pPr>
        <w:pStyle w:val="15"/>
        <w:rPr>
          <w:b w:val="0"/>
          <w:bCs w:val="0"/>
          <w:caps w:val="0"/>
          <w:szCs w:val="22"/>
        </w:rPr>
      </w:pPr>
      <w:r>
        <w:fldChar w:fldCharType="begin"/>
      </w:r>
      <w:r>
        <w:instrText xml:space="preserve"> HYPERLINK \l "_Toc522716122" </w:instrText>
      </w:r>
      <w:r>
        <w:fldChar w:fldCharType="separate"/>
      </w:r>
      <w:r>
        <w:rPr>
          <w:rStyle w:val="23"/>
        </w:rPr>
        <w:t>8</w:t>
      </w:r>
      <w:r>
        <w:rPr>
          <w:b w:val="0"/>
          <w:bCs w:val="0"/>
          <w:caps w:val="0"/>
          <w:szCs w:val="22"/>
        </w:rPr>
        <w:tab/>
      </w:r>
      <w:r>
        <w:rPr>
          <w:rStyle w:val="23"/>
        </w:rPr>
        <w:t>电气、自动控制要求</w:t>
      </w:r>
      <w:r>
        <w:tab/>
      </w:r>
      <w:r>
        <w:fldChar w:fldCharType="begin"/>
      </w:r>
      <w:r>
        <w:instrText xml:space="preserve"> PAGEREF _Toc522716122 \h </w:instrText>
      </w:r>
      <w:r>
        <w:fldChar w:fldCharType="separate"/>
      </w:r>
      <w:r>
        <w:t>7</w:t>
      </w:r>
      <w:r>
        <w:fldChar w:fldCharType="end"/>
      </w:r>
      <w:r>
        <w:fldChar w:fldCharType="end"/>
      </w:r>
    </w:p>
    <w:p>
      <w:pPr>
        <w:pStyle w:val="15"/>
        <w:rPr>
          <w:b w:val="0"/>
          <w:bCs w:val="0"/>
          <w:caps w:val="0"/>
          <w:szCs w:val="22"/>
        </w:rPr>
      </w:pPr>
      <w:r>
        <w:fldChar w:fldCharType="begin"/>
      </w:r>
      <w:r>
        <w:instrText xml:space="preserve"> HYPERLINK \l "_Toc522716123" </w:instrText>
      </w:r>
      <w:r>
        <w:fldChar w:fldCharType="separate"/>
      </w:r>
      <w:r>
        <w:rPr>
          <w:rStyle w:val="23"/>
        </w:rPr>
        <w:t>9</w:t>
      </w:r>
      <w:r>
        <w:rPr>
          <w:b w:val="0"/>
          <w:bCs w:val="0"/>
          <w:caps w:val="0"/>
          <w:szCs w:val="22"/>
        </w:rPr>
        <w:tab/>
      </w:r>
      <w:r>
        <w:rPr>
          <w:rStyle w:val="23"/>
        </w:rPr>
        <w:t>安全要求</w:t>
      </w:r>
      <w:r>
        <w:tab/>
      </w:r>
      <w:r>
        <w:fldChar w:fldCharType="begin"/>
      </w:r>
      <w:r>
        <w:instrText xml:space="preserve"> PAGEREF _Toc522716123 \h </w:instrText>
      </w:r>
      <w:r>
        <w:fldChar w:fldCharType="separate"/>
      </w:r>
      <w:r>
        <w:t>8</w:t>
      </w:r>
      <w:r>
        <w:fldChar w:fldCharType="end"/>
      </w:r>
      <w:r>
        <w:fldChar w:fldCharType="end"/>
      </w:r>
    </w:p>
    <w:p>
      <w:pPr>
        <w:pStyle w:val="15"/>
        <w:rPr>
          <w:b w:val="0"/>
          <w:bCs w:val="0"/>
          <w:caps w:val="0"/>
          <w:szCs w:val="22"/>
        </w:rPr>
      </w:pPr>
      <w:r>
        <w:fldChar w:fldCharType="begin"/>
      </w:r>
      <w:r>
        <w:instrText xml:space="preserve"> HYPERLINK \l "_Toc522716124" </w:instrText>
      </w:r>
      <w:r>
        <w:fldChar w:fldCharType="separate"/>
      </w:r>
      <w:r>
        <w:rPr>
          <w:rStyle w:val="23"/>
        </w:rPr>
        <w:t>10</w:t>
      </w:r>
      <w:r>
        <w:rPr>
          <w:b w:val="0"/>
          <w:bCs w:val="0"/>
          <w:caps w:val="0"/>
          <w:szCs w:val="22"/>
        </w:rPr>
        <w:tab/>
      </w:r>
      <w:r>
        <w:rPr>
          <w:rStyle w:val="23"/>
        </w:rPr>
        <w:t>文件要求</w:t>
      </w:r>
      <w:r>
        <w:tab/>
      </w:r>
      <w:r>
        <w:fldChar w:fldCharType="begin"/>
      </w:r>
      <w:r>
        <w:instrText xml:space="preserve"> PAGEREF _Toc522716124 \h </w:instrText>
      </w:r>
      <w:r>
        <w:fldChar w:fldCharType="separate"/>
      </w:r>
      <w:r>
        <w:t>8</w:t>
      </w:r>
      <w:r>
        <w:fldChar w:fldCharType="end"/>
      </w:r>
      <w:r>
        <w:fldChar w:fldCharType="end"/>
      </w:r>
    </w:p>
    <w:p>
      <w:pPr>
        <w:pStyle w:val="15"/>
        <w:rPr>
          <w:b w:val="0"/>
          <w:bCs w:val="0"/>
          <w:caps w:val="0"/>
          <w:szCs w:val="22"/>
        </w:rPr>
      </w:pPr>
      <w:r>
        <w:fldChar w:fldCharType="begin"/>
      </w:r>
      <w:r>
        <w:instrText xml:space="preserve"> HYPERLINK \l "_Toc522716125" </w:instrText>
      </w:r>
      <w:r>
        <w:fldChar w:fldCharType="separate"/>
      </w:r>
      <w:r>
        <w:rPr>
          <w:rStyle w:val="23"/>
        </w:rPr>
        <w:t>11</w:t>
      </w:r>
      <w:r>
        <w:rPr>
          <w:b w:val="0"/>
          <w:bCs w:val="0"/>
          <w:caps w:val="0"/>
          <w:szCs w:val="22"/>
        </w:rPr>
        <w:tab/>
      </w:r>
      <w:r>
        <w:rPr>
          <w:rStyle w:val="23"/>
        </w:rPr>
        <w:t>服务要求</w:t>
      </w:r>
      <w:r>
        <w:tab/>
      </w:r>
      <w:r>
        <w:fldChar w:fldCharType="begin"/>
      </w:r>
      <w:r>
        <w:instrText xml:space="preserve"> PAGEREF _Toc522716125 \h </w:instrText>
      </w:r>
      <w:r>
        <w:fldChar w:fldCharType="separate"/>
      </w:r>
      <w:r>
        <w:t>10</w:t>
      </w:r>
      <w:r>
        <w:fldChar w:fldCharType="end"/>
      </w:r>
      <w:r>
        <w:fldChar w:fldCharType="end"/>
      </w:r>
    </w:p>
    <w:p>
      <w:pPr>
        <w:pStyle w:val="15"/>
        <w:rPr>
          <w:b w:val="0"/>
          <w:bCs w:val="0"/>
          <w:caps w:val="0"/>
          <w:szCs w:val="22"/>
        </w:rPr>
      </w:pPr>
      <w:r>
        <w:fldChar w:fldCharType="begin"/>
      </w:r>
      <w:r>
        <w:instrText xml:space="preserve"> HYPERLINK \l "_Toc522716126" </w:instrText>
      </w:r>
      <w:r>
        <w:fldChar w:fldCharType="separate"/>
      </w:r>
      <w:r>
        <w:rPr>
          <w:rStyle w:val="23"/>
        </w:rPr>
        <w:t>12</w:t>
      </w:r>
      <w:r>
        <w:rPr>
          <w:b w:val="0"/>
          <w:bCs w:val="0"/>
          <w:caps w:val="0"/>
          <w:szCs w:val="22"/>
        </w:rPr>
        <w:tab/>
      </w:r>
      <w:r>
        <w:rPr>
          <w:rStyle w:val="23"/>
        </w:rPr>
        <w:t>附件</w:t>
      </w:r>
      <w:r>
        <w:tab/>
      </w:r>
      <w:r>
        <w:fldChar w:fldCharType="begin"/>
      </w:r>
      <w:r>
        <w:instrText xml:space="preserve"> PAGEREF _Toc522716126 \h </w:instrText>
      </w:r>
      <w:r>
        <w:fldChar w:fldCharType="separate"/>
      </w:r>
      <w:r>
        <w:t>11</w:t>
      </w:r>
      <w:r>
        <w:fldChar w:fldCharType="end"/>
      </w:r>
      <w:r>
        <w:fldChar w:fldCharType="end"/>
      </w:r>
    </w:p>
    <w:p>
      <w:r>
        <w:fldChar w:fldCharType="end"/>
      </w:r>
      <w:permEnd w:id="0"/>
    </w:p>
    <w:p>
      <w:pPr>
        <w:rPr>
          <w:b/>
          <w:bCs/>
          <w:caps/>
          <w:kern w:val="2"/>
          <w:szCs w:val="21"/>
          <w:lang w:eastAsia="zh-CN"/>
        </w:rPr>
      </w:pPr>
      <w:r>
        <w:rPr>
          <w:b/>
          <w:bCs/>
          <w:caps/>
          <w:kern w:val="2"/>
          <w:szCs w:val="21"/>
          <w:lang w:eastAsia="zh-CN"/>
        </w:rPr>
        <w:br w:type="page"/>
      </w:r>
    </w:p>
    <w:p>
      <w:pPr>
        <w:pStyle w:val="31"/>
        <w:numPr>
          <w:ilvl w:val="0"/>
          <w:numId w:val="3"/>
        </w:numPr>
        <w:spacing w:after="158" w:afterLines="50"/>
        <w:ind w:left="426" w:hanging="426" w:hangingChars="202"/>
        <w:outlineLvl w:val="0"/>
        <w:rPr>
          <w:rFonts w:ascii="Times New Roman" w:hAnsi="Times New Roman"/>
          <w:b/>
        </w:rPr>
      </w:pPr>
      <w:bookmarkStart w:id="5" w:name="_Toc522107735"/>
      <w:bookmarkStart w:id="6" w:name="_Toc522716115"/>
      <w:r>
        <w:rPr>
          <w:rFonts w:ascii="Times New Roman" w:hAnsi="Times New Roman"/>
          <w:b/>
        </w:rPr>
        <w:t>目的</w:t>
      </w:r>
      <w:bookmarkEnd w:id="5"/>
      <w:bookmarkEnd w:id="6"/>
    </w:p>
    <w:p>
      <w:pPr>
        <w:pStyle w:val="41"/>
        <w:spacing w:before="0" w:line="360" w:lineRule="auto"/>
        <w:ind w:left="357"/>
        <w:jc w:val="left"/>
        <w:rPr>
          <w:szCs w:val="21"/>
          <w:lang w:eastAsia="zh-CN"/>
        </w:rPr>
      </w:pPr>
      <w:bookmarkStart w:id="7" w:name="_Toc482625279"/>
      <w:bookmarkStart w:id="8" w:name="_Toc481702475"/>
      <w:bookmarkStart w:id="9" w:name="_Toc482370141"/>
      <w:bookmarkStart w:id="10" w:name="_Toc482359936"/>
      <w:bookmarkStart w:id="11" w:name="_Toc482370757"/>
      <w:bookmarkStart w:id="12" w:name="_Toc482369805"/>
      <w:bookmarkStart w:id="13" w:name="_Toc482360281"/>
      <w:bookmarkStart w:id="14" w:name="_Toc482370349"/>
      <w:bookmarkStart w:id="15" w:name="_Toc482370061"/>
      <w:r>
        <w:rPr>
          <w:szCs w:val="21"/>
          <w:lang w:eastAsia="zh-CN"/>
        </w:rPr>
        <w:t>本文件的目的是描述武汉生物制品研究所有限责任公司病毒性疫苗研究二室粘度计的用户需求说明（URS），以确保最终用户的需求在项目设计阶段得以实现，并作为后续验证工作的基础。</w:t>
      </w:r>
    </w:p>
    <w:p>
      <w:pPr>
        <w:pStyle w:val="41"/>
        <w:spacing w:before="0"/>
        <w:ind w:left="360"/>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6" w:name="_Toc522107736"/>
      <w:bookmarkStart w:id="17" w:name="_Toc522716116"/>
      <w:r>
        <w:rPr>
          <w:rFonts w:ascii="Times New Roman" w:hAnsi="Times New Roman"/>
          <w:b/>
        </w:rPr>
        <w:t>范围</w:t>
      </w:r>
      <w:bookmarkEnd w:id="16"/>
      <w:bookmarkEnd w:id="17"/>
    </w:p>
    <w:p>
      <w:pPr>
        <w:pStyle w:val="41"/>
        <w:spacing w:before="0" w:line="360" w:lineRule="auto"/>
        <w:ind w:left="357"/>
        <w:jc w:val="left"/>
        <w:rPr>
          <w:szCs w:val="21"/>
          <w:lang w:eastAsia="zh-CN"/>
        </w:rPr>
      </w:pPr>
      <w:r>
        <w:rPr>
          <w:szCs w:val="21"/>
          <w:lang w:eastAsia="zh-CN"/>
        </w:rPr>
        <w:t>本URS适用于武汉生物制品研究所有限责任公司病毒性疫苗研究二室粘度计。</w:t>
      </w:r>
      <w:bookmarkEnd w:id="7"/>
      <w:bookmarkEnd w:id="8"/>
      <w:bookmarkEnd w:id="9"/>
      <w:bookmarkEnd w:id="10"/>
      <w:bookmarkEnd w:id="11"/>
      <w:bookmarkEnd w:id="12"/>
      <w:bookmarkEnd w:id="13"/>
      <w:bookmarkEnd w:id="14"/>
      <w:bookmarkEnd w:id="15"/>
    </w:p>
    <w:p>
      <w:pPr>
        <w:pStyle w:val="41"/>
        <w:spacing w:before="0" w:line="360" w:lineRule="auto"/>
        <w:ind w:left="357"/>
        <w:jc w:val="left"/>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8" w:name="_Toc522716117"/>
      <w:bookmarkStart w:id="19" w:name="_Toc522107737"/>
      <w:r>
        <w:rPr>
          <w:rFonts w:ascii="Times New Roman" w:hAnsi="Times New Roman"/>
          <w:b/>
        </w:rPr>
        <w:t>参考文件</w:t>
      </w:r>
      <w:bookmarkEnd w:id="18"/>
      <w:bookmarkEnd w:id="19"/>
    </w:p>
    <w:p>
      <w:pPr>
        <w:pStyle w:val="41"/>
        <w:numPr>
          <w:ilvl w:val="0"/>
          <w:numId w:val="4"/>
        </w:numPr>
        <w:spacing w:before="0" w:line="360" w:lineRule="auto"/>
        <w:jc w:val="left"/>
        <w:rPr>
          <w:color w:val="000000"/>
          <w:szCs w:val="21"/>
          <w:lang w:eastAsia="zh-CN"/>
        </w:rPr>
      </w:pPr>
      <w:r>
        <w:rPr>
          <w:color w:val="000000"/>
          <w:szCs w:val="21"/>
          <w:lang w:eastAsia="zh-CN"/>
        </w:rPr>
        <w:t>GMP法规指南和SOP</w:t>
      </w:r>
    </w:p>
    <w:p>
      <w:pPr>
        <w:pStyle w:val="41"/>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41"/>
        <w:numPr>
          <w:ilvl w:val="0"/>
          <w:numId w:val="5"/>
        </w:numPr>
        <w:spacing w:before="0" w:line="360" w:lineRule="auto"/>
        <w:ind w:left="777"/>
        <w:jc w:val="left"/>
        <w:rPr>
          <w:color w:val="000000" w:themeColor="text1"/>
          <w:szCs w:val="21"/>
          <w:lang w:eastAsia="zh-CN"/>
        </w:rPr>
      </w:pPr>
      <w:permStart w:id="1" w:edGrp="everyone"/>
      <w:r>
        <w:rPr>
          <w:color w:val="000000" w:themeColor="text1"/>
          <w:szCs w:val="21"/>
          <w:lang w:eastAsia="zh-CN"/>
        </w:rPr>
        <w:t xml:space="preserve">中国药典 </w:t>
      </w:r>
      <w:r>
        <w:rPr>
          <w:color w:val="000000" w:themeColor="text1"/>
          <w:szCs w:val="21"/>
        </w:rPr>
        <w:t>20</w:t>
      </w:r>
      <w:r>
        <w:rPr>
          <w:rFonts w:hint="eastAsia"/>
          <w:color w:val="000000" w:themeColor="text1"/>
          <w:szCs w:val="21"/>
          <w:lang w:eastAsia="zh-CN"/>
        </w:rPr>
        <w:t>20</w:t>
      </w:r>
      <w:r>
        <w:rPr>
          <w:color w:val="000000" w:themeColor="text1"/>
          <w:szCs w:val="21"/>
        </w:rPr>
        <w:t>年版</w:t>
      </w:r>
    </w:p>
    <w:permEnd w:id="1"/>
    <w:p>
      <w:pPr>
        <w:pStyle w:val="41"/>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41"/>
        <w:numPr>
          <w:ilvl w:val="0"/>
          <w:numId w:val="5"/>
        </w:numPr>
        <w:spacing w:before="0" w:line="360" w:lineRule="auto"/>
        <w:ind w:left="777"/>
        <w:jc w:val="left"/>
        <w:rPr>
          <w:color w:val="000000" w:themeColor="text1"/>
          <w:szCs w:val="21"/>
          <w:lang w:eastAsia="zh-CN"/>
        </w:rPr>
      </w:pPr>
      <w:permStart w:id="2" w:edGrp="everyone"/>
      <w:r>
        <w:rPr>
          <w:color w:val="000000" w:themeColor="text1"/>
          <w:szCs w:val="21"/>
          <w:lang w:eastAsia="zh-CN"/>
        </w:rPr>
        <w:t>电气安全应符合GB4793.1和GB4793.4的要求。</w:t>
      </w:r>
      <w:permEnd w:id="2"/>
    </w:p>
    <w:p>
      <w:pPr>
        <w:pStyle w:val="31"/>
        <w:numPr>
          <w:ilvl w:val="0"/>
          <w:numId w:val="3"/>
        </w:numPr>
        <w:spacing w:after="158" w:afterLines="50"/>
        <w:ind w:left="426" w:hanging="426" w:hangingChars="202"/>
        <w:outlineLvl w:val="0"/>
        <w:rPr>
          <w:rFonts w:ascii="Times New Roman" w:hAnsi="Times New Roman"/>
          <w:b/>
        </w:rPr>
      </w:pPr>
      <w:bookmarkStart w:id="20" w:name="_Toc522716119"/>
      <w:bookmarkStart w:id="21" w:name="_Toc522107739"/>
      <w:r>
        <w:rPr>
          <w:rFonts w:ascii="Times New Roman" w:hAnsi="Times New Roman"/>
          <w:b/>
        </w:rPr>
        <w:t>系统描述</w:t>
      </w:r>
      <w:bookmarkEnd w:id="20"/>
      <w:bookmarkEnd w:id="21"/>
    </w:p>
    <w:p>
      <w:pPr>
        <w:pStyle w:val="41"/>
        <w:spacing w:before="0" w:line="360" w:lineRule="auto"/>
        <w:ind w:left="357"/>
        <w:jc w:val="left"/>
        <w:rPr>
          <w:color w:val="000000" w:themeColor="text1"/>
          <w:szCs w:val="21"/>
          <w:lang w:eastAsia="zh-CN"/>
        </w:rPr>
      </w:pPr>
      <w:r>
        <w:rPr>
          <w:rFonts w:hint="eastAsia"/>
          <w:color w:val="000000" w:themeColor="text1"/>
          <w:szCs w:val="21"/>
          <w:lang w:eastAsia="zh-CN"/>
        </w:rPr>
        <w:t>病毒性疫苗研究二室</w:t>
      </w:r>
      <w:r>
        <w:rPr>
          <w:color w:val="000000" w:themeColor="text1"/>
          <w:szCs w:val="21"/>
          <w:lang w:eastAsia="zh-CN"/>
        </w:rPr>
        <w:t>拟购置一台粘度计</w:t>
      </w:r>
      <w:r>
        <w:rPr>
          <w:rFonts w:hint="eastAsia"/>
          <w:color w:val="000000" w:themeColor="text1"/>
          <w:szCs w:val="21"/>
          <w:lang w:eastAsia="zh-CN"/>
        </w:rPr>
        <w:t>，</w:t>
      </w:r>
      <w:r>
        <w:rPr>
          <w:rFonts w:hint="eastAsia" w:asciiTheme="minorEastAsia" w:hAnsiTheme="minorEastAsia" w:eastAsiaTheme="minorEastAsia"/>
          <w:iCs/>
          <w:color w:val="000000" w:themeColor="text1"/>
          <w:szCs w:val="21"/>
          <w:lang w:eastAsia="zh-CN"/>
        </w:rPr>
        <w:t>通过测量粘度可以达到物体流变行为的数据，对于预测产品生产过程的工艺控制、输送性及产品在使用时的操作性有着重要的指导价值。流变性往往与产品的其它特性，如颜色、密度、稳定性、固成物含量和分子量的改变有关系，用粘度测量的方法来检测这些性能最为敏感和方便。</w:t>
      </w:r>
      <w:r>
        <w:rPr>
          <w:color w:val="000000" w:themeColor="text1"/>
          <w:szCs w:val="21"/>
          <w:lang w:eastAsia="zh-CN"/>
        </w:rPr>
        <w:t xml:space="preserve"> </w:t>
      </w:r>
    </w:p>
    <w:p>
      <w:pPr>
        <w:pStyle w:val="31"/>
        <w:numPr>
          <w:ilvl w:val="0"/>
          <w:numId w:val="3"/>
        </w:numPr>
        <w:spacing w:after="158" w:afterLines="50"/>
        <w:ind w:left="426" w:hanging="426" w:hangingChars="202"/>
        <w:outlineLvl w:val="0"/>
        <w:rPr>
          <w:szCs w:val="21"/>
          <w:lang w:eastAsia="zh-CN"/>
        </w:rPr>
      </w:pPr>
      <w:bookmarkStart w:id="22" w:name="_Toc522716120"/>
      <w:r>
        <w:rPr>
          <w:rFonts w:ascii="Times New Roman" w:hAnsi="Times New Roman"/>
          <w:b/>
          <w:szCs w:val="21"/>
        </w:rPr>
        <w:t>安装要求</w:t>
      </w:r>
      <w:bookmarkEnd w:id="22"/>
      <w:bookmarkStart w:id="47" w:name="_GoBack"/>
      <w:bookmarkEnd w:id="47"/>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3" w:name="OLE_LINK2"/>
            <w:bookmarkStart w:id="24" w:name="OLE_LINK1"/>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 w:edGrp="everyone"/>
          </w:p>
        </w:tc>
        <w:tc>
          <w:tcPr>
            <w:tcW w:w="7128" w:type="dxa"/>
            <w:shd w:val="clear" w:color="auto" w:fill="auto"/>
            <w:vAlign w:val="center"/>
          </w:tcPr>
          <w:p>
            <w:pPr>
              <w:spacing w:line="276" w:lineRule="auto"/>
              <w:jc w:val="both"/>
              <w:rPr>
                <w:i/>
                <w:color w:val="0070C0"/>
                <w:szCs w:val="21"/>
                <w:lang w:eastAsia="zh-CN"/>
              </w:rPr>
            </w:pPr>
            <w:r>
              <w:rPr>
                <w:rFonts w:hint="eastAsia"/>
                <w:iCs/>
                <w:szCs w:val="21"/>
                <w:lang w:eastAsia="zh-CN"/>
              </w:rPr>
              <w:t>安装于综合楼A区一楼2021106综合实验室</w:t>
            </w:r>
          </w:p>
        </w:tc>
        <w:tc>
          <w:tcPr>
            <w:tcW w:w="2125" w:type="dxa"/>
            <w:shd w:val="clear" w:color="auto" w:fill="auto"/>
            <w:vAlign w:val="center"/>
          </w:tcPr>
          <w:p>
            <w:pPr>
              <w:jc w:val="both"/>
              <w:rPr>
                <w:i/>
                <w:szCs w:val="21"/>
                <w:lang w:eastAsia="zh-CN"/>
              </w:rPr>
            </w:pPr>
            <w:r>
              <w:rPr>
                <w:rFonts w:hint="eastAsia"/>
                <w:iCs/>
                <w:szCs w:val="21"/>
                <w:lang w:eastAsia="zh-CN"/>
              </w:rPr>
              <w:t>关键</w:t>
            </w:r>
          </w:p>
        </w:tc>
      </w:tr>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 w:edGrp="everyone"/>
          </w:p>
        </w:tc>
        <w:tc>
          <w:tcPr>
            <w:tcW w:w="7128" w:type="dxa"/>
            <w:shd w:val="clear" w:color="auto" w:fill="auto"/>
            <w:vAlign w:val="center"/>
          </w:tcPr>
          <w:p>
            <w:pPr>
              <w:spacing w:line="276" w:lineRule="auto"/>
              <w:jc w:val="both"/>
              <w:rPr>
                <w:i/>
                <w:szCs w:val="21"/>
                <w:lang w:eastAsia="zh-CN"/>
              </w:rPr>
            </w:pPr>
            <w:r>
              <w:rPr>
                <w:rFonts w:hint="eastAsia"/>
                <w:iCs/>
                <w:color w:val="000000" w:themeColor="text1"/>
                <w:szCs w:val="21"/>
                <w:lang w:eastAsia="zh-CN"/>
              </w:rPr>
              <w:t>安装尺寸不小于50cm×30cm×40cm</w:t>
            </w:r>
          </w:p>
        </w:tc>
        <w:tc>
          <w:tcPr>
            <w:tcW w:w="2125" w:type="dxa"/>
            <w:shd w:val="clear" w:color="auto" w:fill="auto"/>
            <w:vAlign w:val="center"/>
          </w:tcPr>
          <w:p>
            <w:pPr>
              <w:jc w:val="both"/>
              <w:rPr>
                <w:szCs w:val="21"/>
                <w:lang w:eastAsia="zh-CN"/>
              </w:rPr>
            </w:pPr>
            <w:r>
              <w:rPr>
                <w:rFonts w:hint="eastAsia"/>
                <w:szCs w:val="21"/>
                <w:lang w:eastAsia="zh-CN"/>
              </w:rPr>
              <w:t>关键</w:t>
            </w:r>
          </w:p>
        </w:tc>
      </w:tr>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5" w:edGrp="everyone"/>
          </w:p>
        </w:tc>
        <w:tc>
          <w:tcPr>
            <w:tcW w:w="7128" w:type="dxa"/>
            <w:shd w:val="clear" w:color="auto" w:fill="auto"/>
            <w:vAlign w:val="center"/>
          </w:tcPr>
          <w:p>
            <w:pPr>
              <w:spacing w:line="276" w:lineRule="auto"/>
              <w:jc w:val="both"/>
              <w:rPr>
                <w:color w:val="000000" w:themeColor="text1"/>
                <w:szCs w:val="21"/>
                <w:lang w:val="en-US" w:eastAsia="zh-CN"/>
              </w:rPr>
            </w:pPr>
            <w:r>
              <w:rPr>
                <w:color w:val="000000" w:themeColor="text1"/>
                <w:szCs w:val="21"/>
                <w:lang w:eastAsia="zh-CN"/>
              </w:rPr>
              <w:t>设备的形式尺寸应符合制造商说明书及技术文件规定的要求。</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0000" w:themeColor="text1"/>
                <w:szCs w:val="21"/>
                <w:lang w:eastAsia="zh-CN"/>
              </w:rPr>
            </w:pPr>
            <w:r>
              <w:rPr>
                <w:color w:val="000000" w:themeColor="text1"/>
                <w:szCs w:val="21"/>
                <w:lang w:eastAsia="zh-CN"/>
              </w:rPr>
              <w:t>供应商必须给出设备选型方案及相应附件选型方案，并交给我公司使用部门及工程类部门审核。</w:t>
            </w:r>
          </w:p>
        </w:tc>
        <w:tc>
          <w:tcPr>
            <w:tcW w:w="2125" w:type="dxa"/>
            <w:shd w:val="clear" w:color="auto" w:fill="auto"/>
            <w:vAlign w:val="center"/>
          </w:tcPr>
          <w:p>
            <w:pPr>
              <w:jc w:val="both"/>
              <w:rPr>
                <w:szCs w:val="21"/>
                <w:lang w:eastAsia="zh-CN"/>
              </w:rPr>
            </w:pPr>
            <w:r>
              <w:rPr>
                <w:rFonts w:hint="eastAsia"/>
                <w:szCs w:val="21"/>
                <w:lang w:eastAsia="zh-CN"/>
              </w:rPr>
              <w:t>关键</w:t>
            </w:r>
          </w:p>
        </w:tc>
      </w:tr>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6" w:edGrp="everyone"/>
          </w:p>
        </w:tc>
        <w:tc>
          <w:tcPr>
            <w:tcW w:w="7128" w:type="dxa"/>
            <w:shd w:val="clear" w:color="auto" w:fill="auto"/>
            <w:vAlign w:val="center"/>
          </w:tcPr>
          <w:p>
            <w:pPr>
              <w:spacing w:line="276" w:lineRule="auto"/>
              <w:jc w:val="both"/>
              <w:rPr>
                <w:i/>
                <w:color w:val="0070C0"/>
                <w:szCs w:val="21"/>
                <w:lang w:eastAsia="zh-CN"/>
              </w:rPr>
            </w:pPr>
            <w:r>
              <w:rPr>
                <w:rFonts w:hint="eastAsia" w:asciiTheme="minorEastAsia" w:hAnsiTheme="minorEastAsia" w:eastAsiaTheme="minorEastAsia"/>
                <w:iCs/>
                <w:szCs w:val="21"/>
                <w:lang w:eastAsia="zh-CN"/>
              </w:rPr>
              <w:t>重量（kg）不超过其房间工作台的承重要求。</w:t>
            </w:r>
          </w:p>
        </w:tc>
        <w:tc>
          <w:tcPr>
            <w:tcW w:w="2125" w:type="dxa"/>
            <w:shd w:val="clear" w:color="auto" w:fill="auto"/>
            <w:vAlign w:val="center"/>
          </w:tcPr>
          <w:p>
            <w:pPr>
              <w:jc w:val="both"/>
              <w:rPr>
                <w:szCs w:val="21"/>
                <w:lang w:eastAsia="zh-CN"/>
              </w:rPr>
            </w:pPr>
            <w:r>
              <w:rPr>
                <w:rFonts w:hint="eastAsia"/>
                <w:szCs w:val="21"/>
                <w:lang w:eastAsia="zh-CN"/>
              </w:rPr>
              <w:t>关键</w:t>
            </w:r>
          </w:p>
        </w:tc>
      </w:tr>
      <w:perm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ind w:left="426"/>
              <w:rPr>
                <w:szCs w:val="21"/>
              </w:rPr>
            </w:pPr>
            <w:permStart w:id="7" w:edGrp="everyone"/>
          </w:p>
        </w:tc>
        <w:tc>
          <w:tcPr>
            <w:tcW w:w="9253" w:type="dxa"/>
            <w:gridSpan w:val="2"/>
            <w:shd w:val="clear" w:color="auto" w:fill="auto"/>
            <w:vAlign w:val="center"/>
          </w:tcPr>
          <w:p>
            <w:pPr>
              <w:jc w:val="both"/>
              <w:rPr>
                <w:szCs w:val="21"/>
                <w:lang w:eastAsia="zh-CN"/>
              </w:rPr>
            </w:pPr>
            <w:r>
              <w:rPr>
                <w:rFonts w:hint="eastAsia"/>
                <w:iCs/>
                <w:szCs w:val="21"/>
                <w:lang w:eastAsia="zh-CN"/>
              </w:rPr>
              <w:t>N</w:t>
            </w:r>
            <w:r>
              <w:rPr>
                <w:iCs/>
                <w:szCs w:val="21"/>
                <w:lang w:eastAsia="zh-CN"/>
              </w:rPr>
              <w:t>/A</w:t>
            </w:r>
          </w:p>
        </w:tc>
      </w:tr>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8" w:edGrp="everyone"/>
          </w:p>
        </w:tc>
        <w:tc>
          <w:tcPr>
            <w:tcW w:w="7128" w:type="dxa"/>
            <w:shd w:val="clear" w:color="auto" w:fill="auto"/>
            <w:vAlign w:val="center"/>
          </w:tcPr>
          <w:p>
            <w:pPr>
              <w:spacing w:line="276" w:lineRule="auto"/>
              <w:jc w:val="both"/>
              <w:rPr>
                <w:color w:val="000000" w:themeColor="text1"/>
                <w:szCs w:val="21"/>
                <w:lang w:eastAsia="zh-CN"/>
              </w:rPr>
            </w:pPr>
            <w:r>
              <w:rPr>
                <w:color w:val="000000" w:themeColor="text1"/>
                <w:lang w:eastAsia="zh-CN"/>
              </w:rPr>
              <w:t>工作环境温度：能适应10</w:t>
            </w:r>
            <w:r>
              <w:rPr>
                <w:rFonts w:hint="eastAsia" w:ascii="宋体" w:hAnsi="宋体" w:cs="宋体"/>
                <w:color w:val="000000" w:themeColor="text1"/>
                <w:lang w:eastAsia="zh-CN"/>
              </w:rPr>
              <w:t>℃</w:t>
            </w:r>
            <w:r>
              <w:rPr>
                <w:color w:val="000000" w:themeColor="text1"/>
                <w:lang w:eastAsia="zh-CN"/>
              </w:rPr>
              <w:t>～32</w:t>
            </w:r>
            <w:r>
              <w:rPr>
                <w:rFonts w:hint="eastAsia" w:ascii="宋体" w:hAnsi="宋体" w:cs="宋体"/>
                <w:color w:val="000000" w:themeColor="text1"/>
                <w:lang w:eastAsia="zh-CN"/>
              </w:rPr>
              <w:t>℃</w:t>
            </w:r>
            <w:r>
              <w:rPr>
                <w:color w:val="000000" w:themeColor="text1"/>
                <w:lang w:eastAsia="zh-CN"/>
              </w:rPr>
              <w:t xml:space="preserve">环境 </w:t>
            </w:r>
          </w:p>
        </w:tc>
        <w:tc>
          <w:tcPr>
            <w:tcW w:w="2125" w:type="dxa"/>
            <w:shd w:val="clear" w:color="auto" w:fill="auto"/>
            <w:vAlign w:val="center"/>
          </w:tcPr>
          <w:p>
            <w:pPr>
              <w:jc w:val="both"/>
              <w:rPr>
                <w:szCs w:val="21"/>
                <w:lang w:eastAsia="zh-CN"/>
              </w:rPr>
            </w:pPr>
            <w:r>
              <w:rPr>
                <w:rFonts w:hint="eastAsia"/>
                <w:szCs w:val="21"/>
                <w:lang w:eastAsia="zh-CN"/>
              </w:rPr>
              <w:t>关键</w:t>
            </w:r>
          </w:p>
        </w:tc>
      </w:tr>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9" w:edGrp="everyone"/>
          </w:p>
        </w:tc>
        <w:tc>
          <w:tcPr>
            <w:tcW w:w="7128" w:type="dxa"/>
            <w:shd w:val="clear" w:color="auto" w:fill="auto"/>
            <w:vAlign w:val="center"/>
          </w:tcPr>
          <w:p>
            <w:pPr>
              <w:spacing w:line="276" w:lineRule="auto"/>
              <w:jc w:val="both"/>
              <w:rPr>
                <w:color w:val="000000" w:themeColor="text1"/>
                <w:szCs w:val="21"/>
                <w:lang w:eastAsia="zh-CN"/>
              </w:rPr>
            </w:pPr>
            <w:r>
              <w:rPr>
                <w:color w:val="000000" w:themeColor="text1"/>
                <w:lang w:eastAsia="zh-CN"/>
              </w:rPr>
              <w:t>工作环境湿度：至少包括45%～65%</w:t>
            </w:r>
          </w:p>
        </w:tc>
        <w:tc>
          <w:tcPr>
            <w:tcW w:w="2125" w:type="dxa"/>
            <w:shd w:val="clear" w:color="auto" w:fill="auto"/>
            <w:vAlign w:val="center"/>
          </w:tcPr>
          <w:p>
            <w:pPr>
              <w:jc w:val="both"/>
              <w:rPr>
                <w:szCs w:val="21"/>
                <w:lang w:eastAsia="zh-CN"/>
              </w:rPr>
            </w:pPr>
            <w:r>
              <w:rPr>
                <w:rFonts w:hint="eastAsia"/>
                <w:szCs w:val="21"/>
                <w:lang w:eastAsia="zh-CN"/>
              </w:rPr>
              <w:t>关键</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0" w:edGrp="everyone"/>
          </w:p>
        </w:tc>
        <w:tc>
          <w:tcPr>
            <w:tcW w:w="7128" w:type="dxa"/>
            <w:shd w:val="clear" w:color="auto" w:fill="auto"/>
            <w:vAlign w:val="center"/>
          </w:tcPr>
          <w:p>
            <w:pPr>
              <w:spacing w:line="276" w:lineRule="auto"/>
              <w:jc w:val="both"/>
              <w:rPr>
                <w:color w:val="000000" w:themeColor="text1"/>
                <w:lang w:eastAsia="zh-CN"/>
              </w:rPr>
            </w:pPr>
            <w:r>
              <w:rPr>
                <w:color w:val="000000" w:themeColor="text1"/>
                <w:lang w:eastAsia="zh-CN"/>
              </w:rPr>
              <w:t>工作环境洁净级别：普通区域</w:t>
            </w:r>
          </w:p>
        </w:tc>
        <w:tc>
          <w:tcPr>
            <w:tcW w:w="2125" w:type="dxa"/>
            <w:shd w:val="clear" w:color="auto" w:fill="auto"/>
            <w:vAlign w:val="center"/>
          </w:tcPr>
          <w:p>
            <w:pPr>
              <w:jc w:val="both"/>
              <w:rPr>
                <w:szCs w:val="21"/>
                <w:lang w:eastAsia="zh-CN"/>
              </w:rPr>
            </w:pPr>
            <w:r>
              <w:rPr>
                <w:rFonts w:hint="eastAsia"/>
                <w:szCs w:val="21"/>
                <w:lang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1" w:edGrp="everyone"/>
          </w:p>
        </w:tc>
        <w:tc>
          <w:tcPr>
            <w:tcW w:w="7128" w:type="dxa"/>
            <w:shd w:val="clear" w:color="auto" w:fill="auto"/>
            <w:vAlign w:val="center"/>
          </w:tcPr>
          <w:p>
            <w:pPr>
              <w:spacing w:line="276" w:lineRule="auto"/>
              <w:jc w:val="both"/>
              <w:rPr>
                <w:color w:val="000000"/>
                <w:lang w:eastAsia="zh-CN"/>
              </w:rPr>
            </w:pPr>
            <w:r>
              <w:rPr>
                <w:color w:val="000000"/>
                <w:lang w:eastAsia="zh-CN"/>
              </w:rPr>
              <w:t>交流电电源：</w:t>
            </w:r>
            <w:r>
              <w:rPr>
                <w:color w:val="000000" w:themeColor="text1"/>
                <w:lang w:eastAsia="zh-CN"/>
              </w:rPr>
              <w:t>～220±10%V，50±1Hz</w:t>
            </w:r>
          </w:p>
        </w:tc>
        <w:tc>
          <w:tcPr>
            <w:tcW w:w="2125" w:type="dxa"/>
            <w:shd w:val="clear" w:color="auto" w:fill="auto"/>
            <w:vAlign w:val="center"/>
          </w:tcPr>
          <w:p>
            <w:pPr>
              <w:jc w:val="both"/>
              <w:rPr>
                <w:szCs w:val="21"/>
                <w:lang w:eastAsia="zh-CN"/>
              </w:rPr>
            </w:pPr>
            <w:r>
              <w:rPr>
                <w:rFonts w:hint="eastAsia"/>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2" w:edGrp="everyone"/>
          </w:p>
        </w:tc>
        <w:tc>
          <w:tcPr>
            <w:tcW w:w="7128" w:type="dxa"/>
            <w:shd w:val="clear" w:color="auto" w:fill="auto"/>
            <w:vAlign w:val="center"/>
          </w:tcPr>
          <w:p>
            <w:pPr>
              <w:spacing w:line="276" w:lineRule="auto"/>
              <w:jc w:val="both"/>
              <w:rPr>
                <w:i/>
                <w:color w:val="000000"/>
                <w:lang w:eastAsia="zh-CN"/>
              </w:rPr>
            </w:pPr>
            <w:r>
              <w:rPr>
                <w:rFonts w:hint="eastAsia"/>
                <w:iCs/>
                <w:color w:val="000000"/>
                <w:lang w:eastAsia="zh-CN"/>
              </w:rPr>
              <w:t>整机外壳应光滑无死角易清洁</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0000" w:themeColor="text1"/>
                <w:szCs w:val="21"/>
                <w:lang w:eastAsia="zh-CN"/>
              </w:rPr>
            </w:pPr>
            <w:r>
              <w:rPr>
                <w:color w:val="000000" w:themeColor="text1"/>
                <w:szCs w:val="21"/>
                <w:lang w:val="en-US" w:eastAsia="zh-CN"/>
              </w:rPr>
              <w:t>标识</w:t>
            </w:r>
            <w:r>
              <w:rPr>
                <w:color w:val="000000" w:themeColor="text1"/>
                <w:szCs w:val="21"/>
                <w:lang w:eastAsia="zh-CN"/>
              </w:rPr>
              <w:t xml:space="preserve">：至少应有以下永久贴牢和清楚易认的标识： </w:t>
            </w:r>
          </w:p>
          <w:p>
            <w:pPr>
              <w:spacing w:line="276" w:lineRule="auto"/>
              <w:jc w:val="both"/>
              <w:rPr>
                <w:color w:val="000000" w:themeColor="text1"/>
                <w:szCs w:val="21"/>
                <w:lang w:eastAsia="zh-CN"/>
              </w:rPr>
            </w:pPr>
            <w:r>
              <w:rPr>
                <w:color w:val="000000" w:themeColor="text1"/>
                <w:szCs w:val="21"/>
                <w:lang w:eastAsia="zh-CN"/>
              </w:rPr>
              <w:t>（1）制造/供应单位；</w:t>
            </w:r>
          </w:p>
          <w:p>
            <w:pPr>
              <w:spacing w:line="276" w:lineRule="auto"/>
              <w:jc w:val="both"/>
              <w:rPr>
                <w:color w:val="000000" w:themeColor="text1"/>
                <w:szCs w:val="21"/>
                <w:lang w:eastAsia="zh-CN"/>
              </w:rPr>
            </w:pPr>
            <w:r>
              <w:rPr>
                <w:color w:val="000000" w:themeColor="text1"/>
                <w:szCs w:val="21"/>
                <w:lang w:eastAsia="zh-CN"/>
              </w:rPr>
              <w:t>（2）产品注册号；</w:t>
            </w:r>
          </w:p>
          <w:p>
            <w:pPr>
              <w:spacing w:line="276" w:lineRule="auto"/>
              <w:jc w:val="both"/>
              <w:rPr>
                <w:color w:val="000000" w:themeColor="text1"/>
                <w:szCs w:val="21"/>
                <w:lang w:eastAsia="zh-CN"/>
              </w:rPr>
            </w:pPr>
            <w:r>
              <w:rPr>
                <w:color w:val="000000" w:themeColor="text1"/>
                <w:szCs w:val="21"/>
                <w:lang w:eastAsia="zh-CN"/>
              </w:rPr>
              <w:t>（3）型号；</w:t>
            </w:r>
          </w:p>
          <w:p>
            <w:pPr>
              <w:spacing w:line="276" w:lineRule="auto"/>
              <w:jc w:val="both"/>
              <w:rPr>
                <w:color w:val="000000" w:themeColor="text1"/>
                <w:szCs w:val="21"/>
                <w:lang w:eastAsia="zh-CN"/>
              </w:rPr>
            </w:pPr>
            <w:r>
              <w:rPr>
                <w:color w:val="000000" w:themeColor="text1"/>
                <w:szCs w:val="21"/>
                <w:lang w:eastAsia="zh-CN"/>
              </w:rPr>
              <w:t>（4）生产日期或编号；</w:t>
            </w:r>
          </w:p>
          <w:p>
            <w:pPr>
              <w:spacing w:line="276" w:lineRule="auto"/>
              <w:jc w:val="both"/>
              <w:rPr>
                <w:color w:val="000000" w:themeColor="text1"/>
                <w:szCs w:val="21"/>
                <w:lang w:eastAsia="zh-CN"/>
              </w:rPr>
            </w:pPr>
            <w:r>
              <w:rPr>
                <w:color w:val="000000" w:themeColor="text1"/>
                <w:szCs w:val="21"/>
                <w:lang w:eastAsia="zh-CN"/>
              </w:rPr>
              <w:t>（5）对设备必要的说明；</w:t>
            </w:r>
          </w:p>
          <w:p>
            <w:pPr>
              <w:pStyle w:val="7"/>
              <w:spacing w:line="276" w:lineRule="auto"/>
              <w:rPr>
                <w:color w:val="0070C0"/>
                <w:sz w:val="21"/>
                <w:szCs w:val="21"/>
                <w:lang w:eastAsia="zh-CN"/>
              </w:rPr>
            </w:pPr>
            <w:r>
              <w:rPr>
                <w:color w:val="000000" w:themeColor="text1"/>
                <w:sz w:val="21"/>
                <w:szCs w:val="21"/>
              </w:rPr>
              <w:t>（</w:t>
            </w:r>
            <w:r>
              <w:rPr>
                <w:color w:val="000000" w:themeColor="text1"/>
                <w:sz w:val="21"/>
                <w:szCs w:val="21"/>
                <w:lang w:eastAsia="zh-CN"/>
              </w:rPr>
              <w:t>6</w:t>
            </w:r>
            <w:r>
              <w:rPr>
                <w:color w:val="000000" w:themeColor="text1"/>
                <w:sz w:val="21"/>
                <w:szCs w:val="21"/>
              </w:rPr>
              <w:t>）安全标识。</w:t>
            </w:r>
          </w:p>
        </w:tc>
        <w:tc>
          <w:tcPr>
            <w:tcW w:w="2125" w:type="dxa"/>
            <w:shd w:val="clear" w:color="auto" w:fill="auto"/>
            <w:vAlign w:val="center"/>
          </w:tcPr>
          <w:p>
            <w:pPr>
              <w:jc w:val="both"/>
              <w:rPr>
                <w:szCs w:val="21"/>
                <w:lang w:eastAsia="zh-CN"/>
              </w:rPr>
            </w:pPr>
            <w:r>
              <w:rPr>
                <w:rFonts w:hint="eastAsia"/>
                <w:szCs w:val="21"/>
                <w:lang w:eastAsia="zh-CN"/>
              </w:rPr>
              <w:t>关键</w:t>
            </w:r>
          </w:p>
        </w:tc>
      </w:tr>
      <w:bookmarkEnd w:id="23"/>
      <w:bookmarkEnd w:id="24"/>
      <w:permEnd w:id="12"/>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6" w:hangingChars="202"/>
        <w:outlineLvl w:val="0"/>
        <w:rPr>
          <w:rFonts w:ascii="Times New Roman" w:hAnsi="Times New Roman"/>
          <w:b/>
        </w:rPr>
      </w:pPr>
      <w:bookmarkStart w:id="25" w:name="_Toc522107740"/>
      <w:bookmarkStart w:id="26" w:name="_Toc522716121"/>
      <w:r>
        <w:rPr>
          <w:rFonts w:ascii="Times New Roman" w:hAnsi="Times New Roman"/>
          <w:b/>
        </w:rPr>
        <w:t>运行要求</w:t>
      </w:r>
      <w:bookmarkEnd w:id="25"/>
      <w:bookmarkEnd w:id="26"/>
    </w:p>
    <w:p>
      <w:pPr>
        <w:pStyle w:val="41"/>
        <w:spacing w:before="0" w:line="360" w:lineRule="auto"/>
        <w:ind w:left="357"/>
        <w:jc w:val="left"/>
        <w:rPr>
          <w:bCs/>
          <w:i/>
          <w:color w:val="4472C4"/>
          <w:kern w:val="44"/>
          <w:szCs w:val="21"/>
          <w:lang w:eastAsia="zh-CN"/>
        </w:rPr>
      </w:pPr>
      <w:permStart w:id="13" w:edGrp="everyone"/>
    </w:p>
    <w:permEnd w:id="13"/>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ind w:left="426"/>
              <w:rPr>
                <w:szCs w:val="21"/>
                <w:lang w:eastAsia="zh-CN"/>
              </w:rPr>
            </w:pPr>
            <w:permStart w:id="14" w:edGrp="everyone"/>
          </w:p>
        </w:tc>
        <w:tc>
          <w:tcPr>
            <w:tcW w:w="9253" w:type="dxa"/>
            <w:gridSpan w:val="2"/>
            <w:shd w:val="clear" w:color="auto" w:fill="auto"/>
            <w:vAlign w:val="center"/>
          </w:tcPr>
          <w:p>
            <w:pPr>
              <w:jc w:val="both"/>
              <w:rPr>
                <w:szCs w:val="21"/>
                <w:lang w:eastAsia="zh-CN"/>
              </w:rPr>
            </w:pPr>
            <w:r>
              <w:rPr>
                <w:rFonts w:hint="eastAsia"/>
                <w:szCs w:val="21"/>
                <w:lang w:eastAsia="zh-CN"/>
              </w:rPr>
              <w:t>N</w:t>
            </w:r>
            <w:r>
              <w:rPr>
                <w:szCs w:val="21"/>
                <w:lang w:eastAsia="zh-CN"/>
              </w:rPr>
              <w:t>/A</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ind w:left="426"/>
              <w:rPr>
                <w:szCs w:val="21"/>
              </w:rPr>
            </w:pPr>
            <w:permStart w:id="15" w:edGrp="everyone"/>
          </w:p>
        </w:tc>
        <w:tc>
          <w:tcPr>
            <w:tcW w:w="9253" w:type="dxa"/>
            <w:gridSpan w:val="2"/>
            <w:shd w:val="clear" w:color="auto" w:fill="auto"/>
            <w:vAlign w:val="center"/>
          </w:tcPr>
          <w:p>
            <w:pPr>
              <w:jc w:val="both"/>
              <w:rPr>
                <w:szCs w:val="21"/>
                <w:lang w:eastAsia="zh-CN"/>
              </w:rPr>
            </w:pPr>
            <w:r>
              <w:rPr>
                <w:rFonts w:hint="eastAsia"/>
                <w:szCs w:val="21"/>
                <w:lang w:eastAsia="zh-CN"/>
              </w:rPr>
              <w:t>N</w:t>
            </w:r>
            <w:r>
              <w:rPr>
                <w:szCs w:val="21"/>
                <w:lang w:eastAsia="zh-CN"/>
              </w:rPr>
              <w:t>/A</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6" w:edGrp="everyone"/>
          </w:p>
        </w:tc>
        <w:tc>
          <w:tcPr>
            <w:tcW w:w="7128" w:type="dxa"/>
            <w:shd w:val="clear" w:color="auto" w:fill="auto"/>
            <w:vAlign w:val="center"/>
          </w:tcPr>
          <w:p>
            <w:pPr>
              <w:spacing w:line="276" w:lineRule="auto"/>
              <w:jc w:val="both"/>
              <w:rPr>
                <w:color w:val="000000" w:themeColor="text1"/>
                <w:szCs w:val="21"/>
                <w:lang w:eastAsia="zh-CN"/>
              </w:rPr>
            </w:pPr>
            <w:r>
              <w:rPr>
                <w:rStyle w:val="47"/>
                <w:rFonts w:hAnsi="Arial"/>
                <w:szCs w:val="21"/>
                <w:lang w:eastAsia="zh-CN"/>
              </w:rPr>
              <w:t>转速</w:t>
            </w:r>
            <w:r>
              <w:rPr>
                <w:rStyle w:val="47"/>
                <w:rFonts w:hint="eastAsia" w:hAnsi="Arial"/>
                <w:szCs w:val="21"/>
                <w:lang w:eastAsia="zh-CN"/>
              </w:rPr>
              <w:t>：</w:t>
            </w:r>
            <w:r>
              <w:rPr>
                <w:rStyle w:val="47"/>
                <w:rFonts w:hAnsi="Arial"/>
                <w:szCs w:val="21"/>
                <w:lang w:eastAsia="zh-CN"/>
              </w:rPr>
              <w:t>0.1-250rpm</w:t>
            </w:r>
            <w:r>
              <w:rPr>
                <w:color w:val="000000" w:themeColor="text1"/>
                <w:szCs w:val="21"/>
                <w:lang w:eastAsia="zh-CN"/>
              </w:rPr>
              <w:t xml:space="preserve"> </w:t>
            </w:r>
            <w:r>
              <w:rPr>
                <w:rFonts w:hint="eastAsia"/>
                <w:color w:val="000000" w:themeColor="text1"/>
                <w:szCs w:val="21"/>
                <w:lang w:eastAsia="zh-CN"/>
              </w:rPr>
              <w:t>；</w:t>
            </w:r>
            <w:r>
              <w:rPr>
                <w:color w:val="000000" w:themeColor="text1"/>
                <w:szCs w:val="21"/>
                <w:lang w:eastAsia="zh-CN"/>
              </w:rPr>
              <w:t>精度±</w:t>
            </w:r>
            <w:r>
              <w:rPr>
                <w:rFonts w:hint="eastAsia"/>
                <w:color w:val="000000" w:themeColor="text1"/>
                <w:szCs w:val="21"/>
                <w:lang w:eastAsia="zh-CN"/>
              </w:rPr>
              <w:t>0.1rpm</w:t>
            </w:r>
          </w:p>
        </w:tc>
        <w:tc>
          <w:tcPr>
            <w:tcW w:w="2125" w:type="dxa"/>
            <w:shd w:val="clear" w:color="auto" w:fill="auto"/>
            <w:vAlign w:val="center"/>
          </w:tcPr>
          <w:p>
            <w:pPr>
              <w:jc w:val="both"/>
            </w:pPr>
            <w:r>
              <w:rPr>
                <w:rFonts w:hint="eastAsia"/>
                <w:szCs w:val="21"/>
                <w:lang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Style w:val="47"/>
                <w:rFonts w:hint="eastAsia" w:hAnsi="Arial"/>
                <w:szCs w:val="21"/>
                <w:lang w:eastAsia="zh-CN"/>
              </w:rPr>
              <w:t>粘度</w:t>
            </w:r>
            <w:r>
              <w:rPr>
                <w:rStyle w:val="47"/>
                <w:rFonts w:hAnsi="Arial"/>
                <w:szCs w:val="21"/>
                <w:lang w:eastAsia="zh-CN"/>
              </w:rPr>
              <w:t>测量范围：</w:t>
            </w:r>
            <w:r>
              <w:rPr>
                <w:rStyle w:val="47"/>
                <w:rFonts w:hint="eastAsia" w:hAnsi="Arial"/>
                <w:szCs w:val="21"/>
                <w:lang w:val="en-US" w:eastAsia="zh-CN"/>
              </w:rPr>
              <w:t xml:space="preserve"> 0.1CP--3000</w:t>
            </w:r>
            <w:r>
              <w:rPr>
                <w:rStyle w:val="47"/>
                <w:rFonts w:hAnsi="Arial"/>
                <w:szCs w:val="21"/>
                <w:lang w:eastAsia="zh-CN"/>
              </w:rPr>
              <w:t xml:space="preserve"> CP</w:t>
            </w:r>
          </w:p>
        </w:tc>
        <w:tc>
          <w:tcPr>
            <w:tcW w:w="2125" w:type="dxa"/>
            <w:shd w:val="clear" w:color="auto" w:fill="auto"/>
            <w:vAlign w:val="center"/>
          </w:tcPr>
          <w:p>
            <w:pPr>
              <w:jc w:val="both"/>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Style w:val="47"/>
                <w:rFonts w:hAnsi="Arial"/>
                <w:szCs w:val="21"/>
                <w:lang w:eastAsia="zh-CN"/>
              </w:rPr>
            </w:pPr>
            <w:r>
              <w:rPr>
                <w:rStyle w:val="47"/>
                <w:rFonts w:hint="eastAsia" w:hAnsi="Arial"/>
                <w:szCs w:val="21"/>
                <w:lang w:val="en-US" w:eastAsia="zh-CN"/>
              </w:rPr>
              <w:t>样品量：≤0.5ML，机器显示剪切应力和剪切率参数</w:t>
            </w:r>
          </w:p>
        </w:tc>
        <w:tc>
          <w:tcPr>
            <w:tcW w:w="2125" w:type="dxa"/>
            <w:shd w:val="clear" w:color="auto" w:fill="auto"/>
            <w:vAlign w:val="center"/>
          </w:tcPr>
          <w:p>
            <w:pPr>
              <w:jc w:val="both"/>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Style w:val="47"/>
                <w:rFonts w:hAnsi="Arial"/>
                <w:szCs w:val="21"/>
                <w:lang w:eastAsia="zh-CN"/>
              </w:rPr>
            </w:pPr>
            <w:r>
              <w:rPr>
                <w:rFonts w:hint="eastAsia"/>
                <w:szCs w:val="21"/>
                <w:lang w:val="en-US" w:eastAsia="zh-CN"/>
              </w:rPr>
              <w:t>精度：测量范围的±1%</w:t>
            </w:r>
          </w:p>
        </w:tc>
        <w:tc>
          <w:tcPr>
            <w:tcW w:w="2125" w:type="dxa"/>
            <w:shd w:val="clear" w:color="auto" w:fill="auto"/>
            <w:vAlign w:val="center"/>
          </w:tcPr>
          <w:p>
            <w:pPr>
              <w:jc w:val="both"/>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7" w:edGrp="everyone"/>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重现性：≤±0.2%</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Style w:val="47"/>
                <w:rFonts w:hAnsi="Arial"/>
                <w:szCs w:val="21"/>
                <w:lang w:eastAsia="zh-CN"/>
              </w:rPr>
              <w:t>自动量程显示，当前转子/转速组合下的最大粘度</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Style w:val="47"/>
                <w:rFonts w:hAnsi="Arial"/>
                <w:szCs w:val="21"/>
                <w:lang w:eastAsia="zh-CN"/>
              </w:rPr>
            </w:pPr>
            <w:r>
              <w:rPr>
                <w:rStyle w:val="47"/>
                <w:rFonts w:hint="eastAsia" w:hAnsi="Arial"/>
                <w:szCs w:val="21"/>
                <w:lang w:eastAsia="zh-CN"/>
              </w:rPr>
              <w:t>传感器：采用连续感应芯片实时感应，保证在任何转速下均可实时反应样品的粘度变化，确保数据的准确性；不可采用光电感应的非连续感应传感器。</w:t>
            </w:r>
          </w:p>
        </w:tc>
        <w:tc>
          <w:tcPr>
            <w:tcW w:w="2125" w:type="dxa"/>
            <w:shd w:val="clear" w:color="auto" w:fill="auto"/>
            <w:vAlign w:val="center"/>
          </w:tcPr>
          <w:p>
            <w:pPr>
              <w:jc w:val="both"/>
              <w:rPr>
                <w:szCs w:val="21"/>
                <w:lang w:eastAsia="zh-CN"/>
              </w:rPr>
            </w:pPr>
            <w:r>
              <w:rPr>
                <w:szCs w:val="21"/>
                <w:lang w:eastAsia="zh-CN"/>
              </w:rPr>
              <w:t>关键</w:t>
            </w:r>
            <w:r>
              <w:rPr>
                <w:rFonts w:hint="eastAsia"/>
                <w:szCs w:val="21"/>
                <w:lang w:eastAsia="zh-CN"/>
              </w:rPr>
              <w:t>*</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配置控温水浴（冷媒、油浴）功能，操作界面简洁，可以设置偏差校准</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Style w:val="47"/>
                <w:rFonts w:hAnsi="Arial"/>
                <w:szCs w:val="21"/>
                <w:lang w:eastAsia="zh-CN"/>
              </w:rPr>
            </w:pPr>
            <w:r>
              <w:rPr>
                <w:rFonts w:hint="eastAsia"/>
                <w:szCs w:val="21"/>
                <w:lang w:val="en-US" w:eastAsia="zh-CN"/>
              </w:rPr>
              <w:t>可以利用外循环方式控温；单机控制功能，实现粘-温曲线采集和处理</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温控范围：-5℃~135℃</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Style w:val="47"/>
                <w:rFonts w:hAnsi="Arial"/>
                <w:szCs w:val="21"/>
                <w:lang w:eastAsia="zh-CN"/>
              </w:rPr>
            </w:pPr>
            <w:r>
              <w:rPr>
                <w:rFonts w:hint="eastAsia"/>
                <w:szCs w:val="21"/>
                <w:lang w:val="en-US" w:eastAsia="zh-CN"/>
              </w:rPr>
              <w:t>温控精度：0.1℃，机器显示小数点后一位</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Style w:val="47"/>
                <w:rFonts w:hAnsi="Arial"/>
                <w:szCs w:val="21"/>
                <w:lang w:eastAsia="zh-CN"/>
              </w:rPr>
            </w:pPr>
            <w:r>
              <w:rPr>
                <w:rFonts w:hint="eastAsia"/>
                <w:szCs w:val="21"/>
                <w:lang w:val="en-US" w:eastAsia="zh-CN"/>
              </w:rPr>
              <w:t>控温水浴组件外形小巧，方便摆放</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8"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USB接口,转子不带任何电子元件，可直接浸入溶剂中超声清洗，方便维护。</w:t>
            </w:r>
          </w:p>
        </w:tc>
        <w:tc>
          <w:tcPr>
            <w:tcW w:w="2125" w:type="dxa"/>
            <w:shd w:val="clear" w:color="auto" w:fill="auto"/>
            <w:vAlign w:val="center"/>
          </w:tcPr>
          <w:p>
            <w:pPr>
              <w:jc w:val="both"/>
              <w:rPr>
                <w:szCs w:val="21"/>
                <w:lang w:eastAsia="zh-CN"/>
              </w:rPr>
            </w:pPr>
            <w:r>
              <w:rPr>
                <w:rFonts w:hint="eastAsia"/>
                <w:szCs w:val="21"/>
                <w:lang w:eastAsia="zh-CN"/>
              </w:rPr>
              <w:t>关键</w:t>
            </w:r>
          </w:p>
        </w:tc>
      </w:tr>
      <w:permEnd w:id="18"/>
    </w:tbl>
    <w:p>
      <w:pPr>
        <w:pStyle w:val="31"/>
        <w:numPr>
          <w:ilvl w:val="0"/>
          <w:numId w:val="3"/>
        </w:numPr>
        <w:spacing w:after="158" w:afterLines="50"/>
        <w:ind w:left="426" w:hanging="426" w:hangingChars="202"/>
        <w:outlineLvl w:val="0"/>
        <w:rPr>
          <w:rFonts w:ascii="Times New Roman" w:hAnsi="Times New Roman"/>
          <w:b/>
        </w:rPr>
      </w:pPr>
      <w:bookmarkStart w:id="27" w:name="_Toc522716122"/>
      <w:bookmarkStart w:id="28" w:name="_Toc522107742"/>
      <w:bookmarkStart w:id="29" w:name="_Toc482369815"/>
      <w:bookmarkStart w:id="30" w:name="_Toc481702480"/>
      <w:bookmarkStart w:id="31" w:name="_Toc483227237"/>
      <w:bookmarkStart w:id="32" w:name="_Toc482370359"/>
      <w:bookmarkStart w:id="33" w:name="_Toc482370071"/>
      <w:bookmarkStart w:id="34" w:name="_Toc482717202"/>
      <w:bookmarkStart w:id="35" w:name="_Toc482370767"/>
      <w:bookmarkStart w:id="36" w:name="_Toc482625289"/>
      <w:bookmarkStart w:id="37" w:name="_Toc482359946"/>
      <w:bookmarkStart w:id="38" w:name="_Toc482360291"/>
      <w:bookmarkStart w:id="39" w:name="_Toc482370151"/>
      <w:bookmarkStart w:id="40" w:name="_Toc483400317"/>
      <w:r>
        <w:rPr>
          <w:rFonts w:ascii="Times New Roman" w:hAnsi="Times New Roman"/>
          <w:b/>
        </w:rPr>
        <w:t>电气、自动控制要求</w:t>
      </w:r>
      <w:bookmarkEnd w:id="27"/>
    </w:p>
    <w:p>
      <w:pPr>
        <w:pStyle w:val="41"/>
        <w:spacing w:before="0" w:line="360" w:lineRule="auto"/>
        <w:jc w:val="left"/>
        <w:rPr>
          <w:i/>
          <w:color w:val="4472C4"/>
          <w:szCs w:val="21"/>
          <w:lang w:eastAsia="zh-CN"/>
        </w:rPr>
      </w:pPr>
      <w:permStart w:id="19" w:edGrp="everyone"/>
    </w:p>
    <w:permEnd w:id="19"/>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ind w:left="426"/>
              <w:rPr>
                <w:szCs w:val="21"/>
              </w:rPr>
            </w:pPr>
            <w:permStart w:id="20" w:edGrp="everyone"/>
          </w:p>
        </w:tc>
        <w:tc>
          <w:tcPr>
            <w:tcW w:w="9253" w:type="dxa"/>
            <w:gridSpan w:val="2"/>
            <w:shd w:val="clear" w:color="auto" w:fill="auto"/>
            <w:vAlign w:val="center"/>
          </w:tcPr>
          <w:p>
            <w:pPr>
              <w:jc w:val="both"/>
              <w:rPr>
                <w:szCs w:val="21"/>
                <w:lang w:eastAsia="zh-CN"/>
              </w:rPr>
            </w:pPr>
            <w:r>
              <w:rPr>
                <w:rFonts w:hint="eastAsia"/>
                <w:szCs w:val="21"/>
                <w:lang w:eastAsia="zh-CN"/>
              </w:rPr>
              <w:t>N/A</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1" w:edGrp="everyone"/>
          </w:p>
        </w:tc>
        <w:tc>
          <w:tcPr>
            <w:tcW w:w="7128" w:type="dxa"/>
            <w:shd w:val="clear" w:color="auto" w:fill="auto"/>
            <w:vAlign w:val="center"/>
          </w:tcPr>
          <w:p>
            <w:pPr>
              <w:spacing w:line="276" w:lineRule="auto"/>
              <w:jc w:val="both"/>
              <w:rPr>
                <w:color w:val="0070C0"/>
                <w:szCs w:val="21"/>
                <w:lang w:eastAsia="zh-CN"/>
              </w:rPr>
            </w:pPr>
            <w:r>
              <w:rPr>
                <w:rFonts w:hint="eastAsia" w:asciiTheme="minorEastAsia" w:hAnsiTheme="minorEastAsia" w:eastAsiaTheme="minorEastAsia"/>
                <w:szCs w:val="21"/>
                <w:lang w:eastAsia="zh-CN"/>
              </w:rPr>
              <w:t>计算机工作站一套，Windows</w:t>
            </w:r>
            <w:r>
              <w:rPr>
                <w:rFonts w:asciiTheme="minorEastAsia" w:hAnsiTheme="minorEastAsia" w:eastAsiaTheme="minorEastAsia"/>
                <w:szCs w:val="21"/>
                <w:lang w:eastAsia="zh-CN"/>
              </w:rPr>
              <w:t>10</w:t>
            </w:r>
            <w:r>
              <w:rPr>
                <w:rFonts w:hint="eastAsia" w:asciiTheme="minorEastAsia" w:hAnsiTheme="minorEastAsia" w:eastAsiaTheme="minorEastAsia"/>
                <w:szCs w:val="21"/>
                <w:lang w:eastAsia="zh-CN"/>
              </w:rPr>
              <w:t xml:space="preserve">专业版操作系统，电脑硬件: CPU Corei5，内存 </w:t>
            </w:r>
            <w:r>
              <w:rPr>
                <w:rFonts w:asciiTheme="minorEastAsia" w:hAnsiTheme="minorEastAsia" w:eastAsiaTheme="minorEastAsia"/>
                <w:szCs w:val="21"/>
                <w:lang w:eastAsia="zh-CN"/>
              </w:rPr>
              <w:t>4</w:t>
            </w:r>
            <w:r>
              <w:rPr>
                <w:rFonts w:hint="eastAsia" w:asciiTheme="minorEastAsia" w:hAnsiTheme="minorEastAsia" w:eastAsiaTheme="minorEastAsia"/>
                <w:szCs w:val="21"/>
                <w:lang w:eastAsia="zh-CN"/>
              </w:rPr>
              <w:t xml:space="preserve">G，硬盘 500G，显示器 </w:t>
            </w:r>
            <w:r>
              <w:rPr>
                <w:rFonts w:asciiTheme="minorEastAsia" w:hAnsiTheme="minorEastAsia" w:eastAsiaTheme="minorEastAsia"/>
                <w:szCs w:val="21"/>
                <w:lang w:eastAsia="zh-CN"/>
              </w:rPr>
              <w:t>22</w:t>
            </w:r>
            <w:r>
              <w:rPr>
                <w:rFonts w:hint="eastAsia" w:asciiTheme="minorEastAsia" w:hAnsiTheme="minorEastAsia" w:eastAsiaTheme="minorEastAsia"/>
                <w:szCs w:val="21"/>
                <w:lang w:eastAsia="zh-CN"/>
              </w:rPr>
              <w:t>”，64速DVD-ROM光驱，RS232接口，USB接口≥4个；正版控制及分析软件。</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Theme="minorEastAsia" w:hAnsiTheme="minorEastAsia" w:eastAsiaTheme="minorEastAsia"/>
                <w:szCs w:val="21"/>
                <w:lang w:eastAsia="zh-CN"/>
              </w:rPr>
            </w:pPr>
            <w:r>
              <w:rPr>
                <w:rFonts w:hint="eastAsia"/>
                <w:szCs w:val="21"/>
                <w:lang w:eastAsia="zh-CN"/>
              </w:rPr>
              <w:t>软件实现用电脑对整个粘度测试过程的控制，通过软件可自动生成粘温曲线。高级程序控温水浴可以实现与粘度计通用</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Style w:val="47"/>
                <w:rFonts w:hAnsi="Arial"/>
                <w:szCs w:val="21"/>
                <w:lang w:eastAsia="zh-CN"/>
              </w:rPr>
            </w:pPr>
            <w:r>
              <w:rPr>
                <w:rStyle w:val="47"/>
                <w:rFonts w:hAnsi="Arial"/>
                <w:szCs w:val="21"/>
                <w:lang w:eastAsia="zh-CN"/>
              </w:rPr>
              <w:t>显示信息：粘度，温度，剪切率/剪切应力，扭矩%，转速/转子号,程序步骤状态</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Style w:val="47"/>
                <w:rFonts w:hAnsi="Arial"/>
                <w:szCs w:val="21"/>
                <w:lang w:eastAsia="zh-CN"/>
              </w:rPr>
            </w:pPr>
            <w:r>
              <w:rPr>
                <w:rStyle w:val="47"/>
                <w:rFonts w:hint="eastAsia" w:hAnsi="Arial"/>
                <w:szCs w:val="21"/>
              </w:rPr>
              <w:t>模型计算：用于单机数据分析，无需软件流体模型Casson，Bingham，Power Lax，Thix index</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Style w:val="47"/>
                <w:rFonts w:hAnsi="Arial"/>
                <w:szCs w:val="21"/>
                <w:lang w:eastAsia="zh-CN"/>
              </w:rPr>
            </w:pPr>
            <w:r>
              <w:rPr>
                <w:rStyle w:val="47"/>
                <w:rFonts w:hAnsi="Arial"/>
                <w:szCs w:val="21"/>
                <w:lang w:eastAsia="zh-CN"/>
              </w:rPr>
              <w:t>内置式选项</w:t>
            </w:r>
            <w:r>
              <w:rPr>
                <w:rStyle w:val="47"/>
                <w:rFonts w:hint="eastAsia" w:hAnsi="Arial"/>
                <w:szCs w:val="21"/>
                <w:lang w:eastAsia="zh-CN"/>
              </w:rPr>
              <w:t>：数学模型；温度控制；屈服测试；</w:t>
            </w:r>
            <w:r>
              <w:rPr>
                <w:rStyle w:val="47"/>
                <w:rFonts w:hAnsi="Arial"/>
                <w:szCs w:val="21"/>
                <w:lang w:eastAsia="zh-CN"/>
              </w:rPr>
              <w:t>可编程QC上下限;基于用户指令测试</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Style w:val="47"/>
                <w:rFonts w:hAnsi="Arial"/>
                <w:szCs w:val="21"/>
                <w:lang w:eastAsia="zh-CN"/>
              </w:rPr>
            </w:pPr>
            <w:r>
              <w:rPr>
                <w:rStyle w:val="47"/>
                <w:rFonts w:hint="eastAsia" w:hAnsi="Arial"/>
                <w:szCs w:val="21"/>
                <w:lang w:eastAsia="zh-CN"/>
              </w:rPr>
              <w:t>内部数据存储：≥150MB</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Style w:val="47"/>
                <w:rFonts w:hAnsi="Arial"/>
                <w:szCs w:val="21"/>
                <w:lang w:eastAsia="zh-CN"/>
              </w:rPr>
            </w:pPr>
            <w:r>
              <w:rPr>
                <w:rStyle w:val="47"/>
                <w:rFonts w:hint="eastAsia" w:hAnsi="Arial"/>
                <w:szCs w:val="21"/>
                <w:lang w:eastAsia="zh-CN"/>
              </w:rPr>
              <w:t>操作屏幕：采用一体式设计而非分体式外置屏幕，采用至少7英寸全彩色触摸屏，全触摸屏操作，无按键</w:t>
            </w:r>
            <w:r>
              <w:rPr>
                <w:rStyle w:val="47"/>
                <w:rFonts w:hint="eastAsia" w:hAnsi="Arial"/>
                <w:szCs w:val="21"/>
                <w:lang w:val="en-US" w:eastAsia="zh-CN"/>
              </w:rPr>
              <w:t>,</w:t>
            </w:r>
            <w:r>
              <w:rPr>
                <w:rStyle w:val="47"/>
                <w:rFonts w:hint="eastAsia" w:hAnsi="Arial"/>
                <w:szCs w:val="21"/>
                <w:lang w:eastAsia="zh-CN"/>
              </w:rPr>
              <w:t>实时显示粘度值，以及粘度趋势变化，多种语言（含中文）支持</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Style w:val="47"/>
                <w:rFonts w:hAnsi="Arial"/>
                <w:szCs w:val="21"/>
                <w:lang w:eastAsia="zh-CN"/>
              </w:rPr>
            </w:pPr>
            <w:r>
              <w:rPr>
                <w:rFonts w:hint="eastAsia"/>
                <w:szCs w:val="21"/>
                <w:lang w:eastAsia="zh-CN"/>
              </w:rPr>
              <w:t>可以直接电脑软件操作粘度计，数据可扩展保存</w:t>
            </w:r>
          </w:p>
        </w:tc>
        <w:tc>
          <w:tcPr>
            <w:tcW w:w="2125" w:type="dxa"/>
            <w:shd w:val="clear" w:color="auto" w:fill="auto"/>
            <w:vAlign w:val="center"/>
          </w:tcPr>
          <w:p>
            <w:pPr>
              <w:jc w:val="both"/>
              <w:rPr>
                <w:szCs w:val="21"/>
                <w:lang w:eastAsia="zh-CN"/>
              </w:rPr>
            </w:pPr>
            <w:r>
              <w:rPr>
                <w:rFonts w:hint="eastAsia"/>
                <w:szCs w:val="21"/>
                <w:lang w:eastAsia="zh-CN"/>
              </w:rPr>
              <w:t>关键</w:t>
            </w:r>
          </w:p>
        </w:tc>
      </w:tr>
      <w:permEnd w:id="21"/>
    </w:tbl>
    <w:p>
      <w:pPr>
        <w:spacing w:after="158" w:afterLines="50"/>
        <w:rPr>
          <w:b/>
          <w:lang w:eastAsia="zh-CN"/>
        </w:rPr>
      </w:pPr>
    </w:p>
    <w:p>
      <w:pPr>
        <w:pStyle w:val="31"/>
        <w:numPr>
          <w:ilvl w:val="0"/>
          <w:numId w:val="3"/>
        </w:numPr>
        <w:spacing w:after="158" w:afterLines="50"/>
        <w:ind w:left="426" w:hanging="426" w:hangingChars="202"/>
        <w:outlineLvl w:val="0"/>
        <w:rPr>
          <w:rFonts w:ascii="Times New Roman" w:hAnsi="Times New Roman"/>
          <w:b/>
        </w:rPr>
      </w:pPr>
      <w:bookmarkStart w:id="41" w:name="_Toc522716123"/>
      <w:r>
        <w:rPr>
          <w:rFonts w:ascii="Times New Roman" w:hAnsi="Times New Roman"/>
          <w:b/>
        </w:rPr>
        <w:t>安全要求</w:t>
      </w:r>
      <w:bookmarkEnd w:id="28"/>
      <w:bookmarkEnd w:id="41"/>
    </w:p>
    <w:p>
      <w:pPr>
        <w:pStyle w:val="41"/>
        <w:spacing w:before="0" w:line="360" w:lineRule="auto"/>
        <w:ind w:left="357"/>
        <w:jc w:val="left"/>
        <w:rPr>
          <w:i/>
          <w:color w:val="4472C4"/>
          <w:szCs w:val="21"/>
          <w:lang w:eastAsia="zh-CN"/>
        </w:rPr>
      </w:pPr>
      <w:permStart w:id="22" w:edGrp="everyone"/>
    </w:p>
    <w:permEnd w:id="22"/>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ind w:left="426"/>
              <w:rPr>
                <w:szCs w:val="21"/>
              </w:rPr>
            </w:pPr>
            <w:permStart w:id="23" w:edGrp="everyone"/>
          </w:p>
        </w:tc>
        <w:tc>
          <w:tcPr>
            <w:tcW w:w="9253" w:type="dxa"/>
            <w:gridSpan w:val="2"/>
            <w:shd w:val="clear" w:color="auto" w:fill="auto"/>
            <w:vAlign w:val="center"/>
          </w:tcPr>
          <w:p>
            <w:pPr>
              <w:jc w:val="both"/>
              <w:rPr>
                <w:szCs w:val="21"/>
                <w:lang w:eastAsia="zh-CN"/>
              </w:rPr>
            </w:pPr>
            <w:r>
              <w:rPr>
                <w:rFonts w:hint="eastAsia"/>
                <w:szCs w:val="21"/>
                <w:lang w:eastAsia="zh-CN"/>
              </w:rPr>
              <w:t>N/A</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0"/>
              </w:numPr>
              <w:ind w:firstLineChars="0"/>
              <w:rPr>
                <w:rFonts w:ascii="Times New Roman" w:hAnsi="Times New Roman"/>
                <w:szCs w:val="21"/>
              </w:rPr>
            </w:pPr>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4" w:edGrp="everyone"/>
          </w:p>
        </w:tc>
        <w:tc>
          <w:tcPr>
            <w:tcW w:w="7128" w:type="dxa"/>
            <w:shd w:val="clear" w:color="auto" w:fill="auto"/>
            <w:vAlign w:val="center"/>
          </w:tcPr>
          <w:p>
            <w:pPr>
              <w:jc w:val="both"/>
              <w:rPr>
                <w:szCs w:val="21"/>
                <w:lang w:eastAsia="zh-CN"/>
              </w:rPr>
            </w:pPr>
            <w:r>
              <w:rPr>
                <w:rFonts w:hint="eastAsia"/>
                <w:szCs w:val="21"/>
                <w:lang w:eastAsia="zh-CN"/>
              </w:rPr>
              <w:t>有断电保护措施</w:t>
            </w:r>
          </w:p>
        </w:tc>
        <w:tc>
          <w:tcPr>
            <w:tcW w:w="2125" w:type="dxa"/>
            <w:shd w:val="clear" w:color="auto" w:fill="auto"/>
            <w:vAlign w:val="center"/>
          </w:tcPr>
          <w:p>
            <w:pPr>
              <w:jc w:val="both"/>
              <w:rPr>
                <w:szCs w:val="21"/>
                <w:lang w:eastAsia="zh-CN"/>
              </w:rPr>
            </w:pPr>
            <w:r>
              <w:rPr>
                <w:rFonts w:hint="eastAsia"/>
                <w:szCs w:val="21"/>
                <w:lang w:eastAsia="zh-CN"/>
              </w:rPr>
              <w:t>关键</w:t>
            </w:r>
          </w:p>
        </w:tc>
      </w:tr>
      <w:permEnd w:id="24"/>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2" w:name="_Toc522716124"/>
      <w:bookmarkStart w:id="43" w:name="_Toc522107743"/>
      <w:r>
        <w:rPr>
          <w:rFonts w:ascii="Times New Roman" w:hAnsi="Times New Roman"/>
          <w:b/>
        </w:rPr>
        <w:t>文件要求</w:t>
      </w:r>
      <w:bookmarkEnd w:id="42"/>
      <w:bookmarkEnd w:id="43"/>
    </w:p>
    <w:p>
      <w:pPr>
        <w:pStyle w:val="41"/>
        <w:spacing w:before="0" w:line="360" w:lineRule="auto"/>
        <w:jc w:val="left"/>
        <w:rPr>
          <w:i/>
          <w:szCs w:val="21"/>
          <w:lang w:eastAsia="zh-CN"/>
        </w:rPr>
      </w:pPr>
      <w:permStart w:id="25" w:edGrp="everyone"/>
    </w:p>
    <w:permEnd w:id="25"/>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6" w:edGrp="everyone"/>
          </w:p>
        </w:tc>
        <w:tc>
          <w:tcPr>
            <w:tcW w:w="7128" w:type="dxa"/>
            <w:shd w:val="clear" w:color="auto" w:fill="auto"/>
            <w:vAlign w:val="center"/>
          </w:tcPr>
          <w:p>
            <w:pPr>
              <w:jc w:val="both"/>
              <w:rPr>
                <w:szCs w:val="21"/>
                <w:lang w:eastAsia="zh-CN"/>
              </w:rPr>
            </w:pPr>
            <w:r>
              <w:rPr>
                <w:rFonts w:hint="eastAsia" w:ascii="宋体" w:hAnsi="宋体"/>
                <w:szCs w:val="21"/>
                <w:lang w:eastAsia="zh-CN"/>
              </w:rPr>
              <w:t>投标文件、合同及订单。提交时限：设备开箱验收</w:t>
            </w:r>
          </w:p>
        </w:tc>
        <w:tc>
          <w:tcPr>
            <w:tcW w:w="2125" w:type="dxa"/>
            <w:shd w:val="clear" w:color="auto" w:fill="auto"/>
            <w:vAlign w:val="center"/>
          </w:tcPr>
          <w:p>
            <w:pPr>
              <w:jc w:val="both"/>
              <w:rPr>
                <w:szCs w:val="21"/>
                <w:lang w:eastAsia="zh-CN"/>
              </w:rPr>
            </w:pPr>
            <w:r>
              <w:rPr>
                <w:rFonts w:hint="eastAsia"/>
                <w:szCs w:val="21"/>
                <w:lang w:eastAsia="zh-CN"/>
              </w:rPr>
              <w:t>关键</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7" w:edGrp="everyone"/>
          </w:p>
        </w:tc>
        <w:tc>
          <w:tcPr>
            <w:tcW w:w="7128" w:type="dxa"/>
            <w:shd w:val="clear" w:color="auto" w:fill="auto"/>
            <w:vAlign w:val="center"/>
          </w:tcPr>
          <w:p>
            <w:pPr>
              <w:jc w:val="both"/>
              <w:rPr>
                <w:szCs w:val="21"/>
                <w:lang w:eastAsia="zh-CN"/>
              </w:rPr>
            </w:pPr>
            <w:r>
              <w:rPr>
                <w:rFonts w:hint="eastAsia" w:ascii="宋体" w:hAnsi="宋体"/>
                <w:szCs w:val="21"/>
                <w:lang w:eastAsia="zh-CN"/>
              </w:rPr>
              <w:t>卖方发运清单及相关检验报告。提交时限：设备开箱验收</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szCs w:val="21"/>
                <w:lang w:eastAsia="zh-CN"/>
              </w:rPr>
            </w:pPr>
            <w:r>
              <w:rPr>
                <w:rFonts w:hint="eastAsia" w:ascii="宋体" w:hAnsi="宋体"/>
                <w:szCs w:val="21"/>
                <w:lang w:eastAsia="zh-CN"/>
              </w:rPr>
              <w:t>设计选型文件：设备详细的设计说明、功能说明、配置说明与清单等。提交时限：设备开箱验收</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szCs w:val="21"/>
                <w:lang w:eastAsia="zh-CN"/>
              </w:rPr>
            </w:pPr>
            <w:r>
              <w:rPr>
                <w:rFonts w:hint="eastAsia" w:ascii="宋体" w:hAnsi="宋体"/>
                <w:szCs w:val="21"/>
                <w:lang w:eastAsia="zh-CN"/>
              </w:rPr>
              <w:t>图纸：各种测试、维修等活动所需的电子版及打印版系统实物图、布局图、设备尺寸图、设备局部图（与工艺、功能相关的细节图）、接线图、图纸清单。提交时限：设备开箱验收</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szCs w:val="21"/>
                <w:lang w:eastAsia="zh-CN"/>
              </w:rPr>
            </w:pPr>
            <w:r>
              <w:rPr>
                <w:rFonts w:hint="eastAsia" w:ascii="宋体" w:hAnsi="宋体"/>
                <w:szCs w:val="21"/>
                <w:lang w:eastAsia="zh-CN"/>
              </w:rPr>
              <w:t>零配件、部件、易损件、备件及仪器仪表清单：包括编号、对应厂家名称、生产地、规格及必要说明。提交时限：设备开箱验收</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szCs w:val="21"/>
                <w:lang w:eastAsia="zh-CN"/>
              </w:rPr>
            </w:pPr>
            <w:r>
              <w:rPr>
                <w:rFonts w:hint="eastAsia" w:ascii="宋体" w:hAnsi="宋体"/>
                <w:szCs w:val="21"/>
                <w:lang w:eastAsia="zh-CN"/>
              </w:rPr>
              <w:t>设备厂家文件：出厂测试合格证、相关检测报告、各种标示。提交时限：设备开箱验收</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rFonts w:ascii="宋体" w:hAnsi="宋体"/>
                <w:szCs w:val="21"/>
                <w:lang w:eastAsia="zh-CN"/>
              </w:rPr>
            </w:pPr>
            <w:r>
              <w:rPr>
                <w:rFonts w:hint="eastAsia" w:ascii="宋体" w:hAnsi="宋体"/>
                <w:szCs w:val="21"/>
                <w:lang w:eastAsia="zh-CN"/>
              </w:rPr>
              <w:t>设备交付计划表。提交时限：设备开箱验收</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rFonts w:ascii="宋体" w:hAnsi="宋体"/>
                <w:szCs w:val="21"/>
                <w:lang w:eastAsia="zh-CN"/>
              </w:rPr>
            </w:pPr>
            <w:r>
              <w:rPr>
                <w:rFonts w:hint="eastAsia" w:ascii="宋体" w:hAnsi="宋体"/>
                <w:szCs w:val="21"/>
                <w:lang w:eastAsia="zh-CN"/>
              </w:rPr>
              <w:t>第三方校验报告及计量证书。提交时限：设备开箱验收</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rFonts w:ascii="宋体" w:hAnsi="宋体"/>
                <w:szCs w:val="21"/>
                <w:lang w:eastAsia="zh-CN"/>
              </w:rPr>
            </w:pPr>
            <w:r>
              <w:rPr>
                <w:rFonts w:hint="eastAsia" w:ascii="宋体" w:hAnsi="宋体"/>
                <w:szCs w:val="21"/>
                <w:lang w:eastAsia="zh-CN"/>
              </w:rPr>
              <w:t>材料清单及材料证书（写明材料有效期）。提交时限：设备开箱验收</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360" w:lineRule="auto"/>
              <w:rPr>
                <w:rFonts w:ascii="宋体" w:hAnsi="宋体" w:cs="Arial"/>
                <w:color w:val="000000"/>
                <w:szCs w:val="21"/>
                <w:lang w:eastAsia="zh-CN"/>
              </w:rPr>
            </w:pPr>
            <w:r>
              <w:rPr>
                <w:rFonts w:hint="eastAsia" w:ascii="宋体" w:hAnsi="宋体" w:cs="Arial"/>
                <w:color w:val="000000"/>
                <w:szCs w:val="21"/>
                <w:lang w:eastAsia="zh-CN"/>
              </w:rPr>
              <w:t>验证文件：</w:t>
            </w:r>
          </w:p>
          <w:p>
            <w:pPr>
              <w:numPr>
                <w:ilvl w:val="1"/>
                <w:numId w:val="7"/>
              </w:numPr>
              <w:tabs>
                <w:tab w:val="left" w:pos="370"/>
              </w:tabs>
              <w:spacing w:line="360" w:lineRule="auto"/>
              <w:ind w:left="370" w:hanging="370"/>
              <w:rPr>
                <w:rFonts w:ascii="宋体" w:hAnsi="宋体" w:cs="Arial"/>
                <w:color w:val="000000"/>
                <w:szCs w:val="21"/>
                <w:lang w:eastAsia="zh-CN"/>
              </w:rPr>
            </w:pPr>
            <w:r>
              <w:rPr>
                <w:rFonts w:hint="eastAsia" w:ascii="宋体" w:hAnsi="宋体" w:cs="Arial"/>
                <w:color w:val="000000"/>
                <w:szCs w:val="21"/>
                <w:lang w:eastAsia="zh-CN"/>
              </w:rPr>
              <w:t>验证计划</w:t>
            </w:r>
          </w:p>
          <w:p>
            <w:pPr>
              <w:numPr>
                <w:ilvl w:val="1"/>
                <w:numId w:val="7"/>
              </w:numPr>
              <w:tabs>
                <w:tab w:val="left" w:pos="370"/>
              </w:tabs>
              <w:spacing w:line="360" w:lineRule="auto"/>
              <w:ind w:left="370" w:hanging="370"/>
              <w:rPr>
                <w:rFonts w:ascii="宋体" w:hAnsi="宋体" w:cs="Arial"/>
                <w:color w:val="000000"/>
                <w:szCs w:val="21"/>
                <w:lang w:eastAsia="zh-CN"/>
              </w:rPr>
            </w:pPr>
            <w:r>
              <w:rPr>
                <w:rFonts w:hint="eastAsia" w:ascii="宋体" w:hAnsi="宋体" w:cs="Arial"/>
                <w:color w:val="000000"/>
                <w:szCs w:val="21"/>
                <w:lang w:eastAsia="zh-CN"/>
              </w:rPr>
              <w:t>安装确认及文件（</w:t>
            </w:r>
            <w:r>
              <w:rPr>
                <w:rFonts w:ascii="宋体" w:hAnsi="宋体" w:cs="Arial"/>
                <w:color w:val="000000"/>
                <w:szCs w:val="21"/>
                <w:lang w:eastAsia="zh-CN"/>
              </w:rPr>
              <w:t>IQ</w:t>
            </w:r>
            <w:r>
              <w:rPr>
                <w:rFonts w:hint="eastAsia" w:ascii="宋体" w:hAnsi="宋体" w:cs="Arial"/>
                <w:color w:val="000000"/>
                <w:szCs w:val="21"/>
                <w:lang w:eastAsia="zh-CN"/>
              </w:rPr>
              <w:t>）；</w:t>
            </w:r>
          </w:p>
          <w:p>
            <w:pPr>
              <w:numPr>
                <w:ilvl w:val="1"/>
                <w:numId w:val="7"/>
              </w:numPr>
              <w:tabs>
                <w:tab w:val="left" w:pos="370"/>
              </w:tabs>
              <w:spacing w:line="360" w:lineRule="auto"/>
              <w:ind w:left="370" w:hanging="370"/>
              <w:rPr>
                <w:rFonts w:ascii="宋体" w:hAnsi="宋体" w:cs="Arial"/>
                <w:color w:val="000000"/>
                <w:szCs w:val="21"/>
                <w:lang w:eastAsia="zh-CN"/>
              </w:rPr>
            </w:pPr>
            <w:r>
              <w:rPr>
                <w:rFonts w:hint="eastAsia" w:ascii="宋体" w:hAnsi="宋体" w:cs="Arial"/>
                <w:color w:val="000000"/>
                <w:szCs w:val="21"/>
                <w:lang w:eastAsia="zh-CN"/>
              </w:rPr>
              <w:t>运行确认及文件（</w:t>
            </w:r>
            <w:r>
              <w:rPr>
                <w:rFonts w:ascii="宋体" w:hAnsi="宋体" w:cs="Arial"/>
                <w:color w:val="000000"/>
                <w:szCs w:val="21"/>
                <w:lang w:eastAsia="zh-CN"/>
              </w:rPr>
              <w:t>OQ</w:t>
            </w:r>
            <w:r>
              <w:rPr>
                <w:rFonts w:hint="eastAsia" w:ascii="宋体" w:hAnsi="宋体" w:cs="Arial"/>
                <w:color w:val="000000"/>
                <w:szCs w:val="21"/>
                <w:lang w:eastAsia="zh-CN"/>
              </w:rPr>
              <w:t>）；</w:t>
            </w:r>
          </w:p>
          <w:p>
            <w:pPr>
              <w:jc w:val="both"/>
              <w:rPr>
                <w:szCs w:val="21"/>
                <w:lang w:eastAsia="zh-CN"/>
              </w:rPr>
            </w:pPr>
            <w:r>
              <w:rPr>
                <w:rFonts w:hint="eastAsia" w:ascii="宋体" w:hAnsi="宋体" w:cs="Arial"/>
                <w:color w:val="000000"/>
                <w:szCs w:val="21"/>
                <w:lang w:eastAsia="zh-CN"/>
              </w:rPr>
              <w:t>负责制定验证计划、评估文件、I</w:t>
            </w:r>
            <w:r>
              <w:rPr>
                <w:rFonts w:ascii="宋体" w:hAnsi="宋体" w:cs="Arial"/>
                <w:color w:val="000000"/>
                <w:szCs w:val="21"/>
                <w:lang w:eastAsia="zh-CN"/>
              </w:rPr>
              <w:t>Q/</w:t>
            </w:r>
            <w:r>
              <w:rPr>
                <w:rFonts w:hint="eastAsia" w:ascii="宋体" w:hAnsi="宋体" w:cs="Arial"/>
                <w:color w:val="000000"/>
                <w:szCs w:val="21"/>
                <w:lang w:eastAsia="zh-CN"/>
              </w:rPr>
              <w:t>O</w:t>
            </w:r>
            <w:r>
              <w:rPr>
                <w:rFonts w:ascii="宋体" w:hAnsi="宋体" w:cs="Arial"/>
                <w:color w:val="000000"/>
                <w:szCs w:val="21"/>
                <w:lang w:eastAsia="zh-CN"/>
              </w:rPr>
              <w:t>Q</w:t>
            </w:r>
            <w:r>
              <w:rPr>
                <w:rFonts w:hint="eastAsia" w:ascii="宋体" w:hAnsi="宋体" w:cs="Arial"/>
                <w:color w:val="000000"/>
                <w:szCs w:val="21"/>
                <w:lang w:eastAsia="zh-CN"/>
              </w:rPr>
              <w:t>验证文件，并负责验证工作的实施，该验证文件作为设备必备文件。</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szCs w:val="21"/>
                <w:lang w:eastAsia="zh-CN"/>
              </w:rPr>
            </w:pPr>
            <w:r>
              <w:rPr>
                <w:rFonts w:hint="eastAsia" w:ascii="宋体" w:hAnsi="宋体"/>
                <w:szCs w:val="21"/>
                <w:lang w:eastAsia="zh-CN"/>
              </w:rPr>
              <w:t>调试文件：调试计划（调试说明书、调试进度报告、调试清单、验收测试和启动程序、保修信息、运行和维护手册、培训计划、再调试计划等），总测试计划，检查计划，检测清单，检查清单，各测试报告，调试总结报告等。</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szCs w:val="21"/>
                <w:lang w:eastAsia="zh-CN"/>
              </w:rPr>
            </w:pPr>
            <w:r>
              <w:rPr>
                <w:rFonts w:hint="eastAsia" w:ascii="宋体" w:hAnsi="宋体"/>
                <w:szCs w:val="21"/>
                <w:lang w:eastAsia="zh-CN"/>
              </w:rPr>
              <w:t>使用操作说明书及维护保养说明（即运行及维护手册）3份。</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szCs w:val="21"/>
                <w:lang w:eastAsia="zh-CN"/>
              </w:rPr>
            </w:pPr>
            <w:r>
              <w:rPr>
                <w:rFonts w:hint="eastAsia" w:ascii="宋体" w:hAnsi="宋体"/>
                <w:szCs w:val="21"/>
                <w:lang w:eastAsia="zh-CN"/>
              </w:rPr>
              <w:t>提供设备及其零部件使用寿命清单。所有说明书在开箱时验收并提供电子版</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rFonts w:ascii="宋体" w:hAnsi="宋体"/>
                <w:szCs w:val="21"/>
                <w:lang w:eastAsia="zh-CN"/>
              </w:rPr>
            </w:pPr>
            <w:r>
              <w:rPr>
                <w:rFonts w:hint="eastAsia" w:ascii="宋体" w:hAnsi="宋体"/>
                <w:szCs w:val="21"/>
                <w:lang w:eastAsia="zh-CN"/>
              </w:rPr>
              <w:t>文件具体要求：</w:t>
            </w:r>
          </w:p>
          <w:p>
            <w:pPr>
              <w:rPr>
                <w:rFonts w:ascii="宋体" w:hAnsi="宋体"/>
                <w:szCs w:val="21"/>
                <w:lang w:eastAsia="zh-CN"/>
              </w:rPr>
            </w:pPr>
            <w:r>
              <w:rPr>
                <w:rFonts w:hint="eastAsia" w:ascii="宋体" w:hAnsi="宋体"/>
                <w:szCs w:val="21"/>
                <w:lang w:eastAsia="zh-CN"/>
              </w:rPr>
              <w:t>系统相关方案中，应明确本系统的配置、规格，并且通过分析阐述每一个系统环节的必要性；标书中明确系统所有组件的品牌、材质、型号，并且注明每一个组件的保修期。</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rFonts w:ascii="宋体" w:hAnsi="宋体"/>
                <w:szCs w:val="21"/>
                <w:lang w:eastAsia="zh-CN"/>
              </w:rPr>
            </w:pPr>
            <w:r>
              <w:rPr>
                <w:rFonts w:hint="eastAsia" w:ascii="宋体" w:hAnsi="宋体"/>
                <w:szCs w:val="21"/>
                <w:lang w:val="en-US" w:eastAsia="zh-CN"/>
              </w:rPr>
              <w:t>上述设备说明书等资料有电子版的文件都应该</w:t>
            </w:r>
            <w:r>
              <w:rPr>
                <w:rFonts w:ascii="宋体" w:hAnsi="宋体"/>
                <w:szCs w:val="21"/>
                <w:lang w:eastAsia="zh-CN"/>
              </w:rPr>
              <w:t>提供电子版，并在设备开箱验收时将最终批准的电子版全套资料</w:t>
            </w:r>
            <w:r>
              <w:rPr>
                <w:rFonts w:hint="eastAsia" w:ascii="宋体" w:hAnsi="宋体"/>
                <w:szCs w:val="21"/>
                <w:lang w:eastAsia="zh-CN"/>
              </w:rPr>
              <w:t>与随机的文件记录等</w:t>
            </w:r>
            <w:r>
              <w:rPr>
                <w:rFonts w:ascii="宋体" w:hAnsi="宋体"/>
                <w:szCs w:val="21"/>
                <w:lang w:eastAsia="zh-CN"/>
              </w:rPr>
              <w:t>交工程技术部存档</w:t>
            </w:r>
            <w:r>
              <w:rPr>
                <w:rFonts w:hint="eastAsia" w:ascii="宋体" w:hAnsi="宋体"/>
                <w:szCs w:val="21"/>
                <w:lang w:eastAsia="zh-CN"/>
              </w:rPr>
              <w:t>。</w:t>
            </w:r>
          </w:p>
        </w:tc>
        <w:tc>
          <w:tcPr>
            <w:tcW w:w="2125" w:type="dxa"/>
            <w:shd w:val="clear" w:color="auto" w:fill="auto"/>
            <w:vAlign w:val="center"/>
          </w:tcPr>
          <w:p>
            <w:pPr>
              <w:jc w:val="both"/>
              <w:rPr>
                <w:szCs w:val="21"/>
                <w:lang w:eastAsia="zh-CN"/>
              </w:rPr>
            </w:pPr>
            <w:r>
              <w:rPr>
                <w:rFonts w:hint="eastAsia"/>
                <w:szCs w:val="21"/>
                <w:lang w:eastAsia="zh-CN"/>
              </w:rPr>
              <w:t>关键</w:t>
            </w:r>
          </w:p>
        </w:tc>
      </w:tr>
      <w:permEnd w:id="27"/>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4" w:name="_Toc522716125"/>
      <w:r>
        <w:rPr>
          <w:rFonts w:ascii="Times New Roman" w:hAnsi="Times New Roman"/>
          <w:b/>
          <w:szCs w:val="21"/>
        </w:rPr>
        <w:t>服务要求</w:t>
      </w:r>
      <w:bookmarkEnd w:id="44"/>
    </w:p>
    <w:p>
      <w:pPr>
        <w:pStyle w:val="41"/>
        <w:spacing w:before="0" w:line="360" w:lineRule="auto"/>
        <w:jc w:val="left"/>
        <w:rPr>
          <w:i/>
          <w:color w:val="4472C4"/>
          <w:szCs w:val="21"/>
          <w:lang w:eastAsia="zh-CN"/>
        </w:rPr>
      </w:pPr>
      <w:permStart w:id="28" w:edGrp="everyone"/>
    </w:p>
    <w:permEnd w:id="28"/>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9" w:edGrp="everyone"/>
          </w:p>
        </w:tc>
        <w:tc>
          <w:tcPr>
            <w:tcW w:w="7128" w:type="dxa"/>
            <w:shd w:val="clear" w:color="auto" w:fill="auto"/>
            <w:vAlign w:val="center"/>
          </w:tcPr>
          <w:p>
            <w:pPr>
              <w:spacing w:line="276" w:lineRule="auto"/>
              <w:jc w:val="both"/>
              <w:rPr>
                <w:color w:val="000000" w:themeColor="text1"/>
                <w:szCs w:val="21"/>
                <w:lang w:eastAsia="zh-CN"/>
              </w:rPr>
            </w:pPr>
            <w:r>
              <w:rPr>
                <w:color w:val="000000" w:themeColor="text1"/>
                <w:lang w:eastAsia="zh-CN"/>
              </w:rPr>
              <w:t>设备供应商应免费对设备使用方人员进行全面培训，包括对生产操作人员及设备维护、维修人员，并填写培训记录。</w:t>
            </w:r>
          </w:p>
        </w:tc>
        <w:tc>
          <w:tcPr>
            <w:tcW w:w="2125" w:type="dxa"/>
            <w:shd w:val="clear" w:color="auto" w:fill="auto"/>
            <w:vAlign w:val="center"/>
          </w:tcPr>
          <w:p>
            <w:pPr>
              <w:jc w:val="both"/>
              <w:rPr>
                <w:szCs w:val="21"/>
                <w:lang w:eastAsia="zh-CN"/>
              </w:rPr>
            </w:pPr>
            <w:r>
              <w:rPr>
                <w:rFonts w:hint="eastAsia"/>
                <w:szCs w:val="21"/>
                <w:lang w:eastAsia="zh-CN"/>
              </w:rPr>
              <w:t>关键</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0" w:edGrp="everyone"/>
          </w:p>
        </w:tc>
        <w:tc>
          <w:tcPr>
            <w:tcW w:w="7128" w:type="dxa"/>
            <w:shd w:val="clear" w:color="auto" w:fill="auto"/>
            <w:vAlign w:val="center"/>
          </w:tcPr>
          <w:p>
            <w:pPr>
              <w:spacing w:line="276" w:lineRule="auto"/>
              <w:jc w:val="both"/>
              <w:rPr>
                <w:color w:val="000000" w:themeColor="text1"/>
                <w:szCs w:val="21"/>
                <w:lang w:eastAsia="zh-CN"/>
              </w:rPr>
            </w:pPr>
            <w:r>
              <w:rPr>
                <w:color w:val="000000" w:themeColor="text1"/>
                <w:lang w:eastAsia="zh-CN"/>
              </w:rPr>
              <w:t>生产操作人员培训包括设备结构原理、性能、操作、清洗消毒、故障排除等基本</w:t>
            </w:r>
            <w:r>
              <w:rPr>
                <w:color w:val="000000" w:themeColor="text1"/>
                <w:szCs w:val="21"/>
                <w:lang w:eastAsia="zh-CN"/>
              </w:rPr>
              <w:t>知识</w:t>
            </w:r>
            <w:r>
              <w:rPr>
                <w:color w:val="000000" w:themeColor="text1"/>
                <w:lang w:eastAsia="zh-CN"/>
              </w:rPr>
              <w:t>。合格标准为用户参加培训人员能够独立正确操作设备，会排除常见故障。</w:t>
            </w:r>
          </w:p>
        </w:tc>
        <w:tc>
          <w:tcPr>
            <w:tcW w:w="2125" w:type="dxa"/>
            <w:shd w:val="clear" w:color="auto" w:fill="auto"/>
            <w:vAlign w:val="center"/>
          </w:tcPr>
          <w:p>
            <w:pPr>
              <w:jc w:val="both"/>
              <w:rPr>
                <w:szCs w:val="21"/>
                <w:lang w:eastAsia="zh-CN"/>
              </w:rPr>
            </w:pPr>
            <w:r>
              <w:rPr>
                <w:rFonts w:hint="eastAsia"/>
                <w:szCs w:val="21"/>
                <w:lang w:eastAsia="zh-CN"/>
              </w:rPr>
              <w:t>关键</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1" w:edGrp="everyone"/>
          </w:p>
        </w:tc>
        <w:tc>
          <w:tcPr>
            <w:tcW w:w="7128" w:type="dxa"/>
            <w:shd w:val="clear" w:color="auto" w:fill="auto"/>
            <w:vAlign w:val="center"/>
          </w:tcPr>
          <w:p>
            <w:pPr>
              <w:spacing w:line="276" w:lineRule="auto"/>
              <w:jc w:val="both"/>
              <w:rPr>
                <w:color w:val="000000" w:themeColor="text1"/>
                <w:lang w:eastAsia="zh-CN"/>
              </w:rPr>
            </w:pPr>
            <w:r>
              <w:rPr>
                <w:color w:val="000000" w:themeColor="text1"/>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shd w:val="clear" w:color="auto" w:fill="auto"/>
            <w:vAlign w:val="center"/>
          </w:tcPr>
          <w:p>
            <w:pPr>
              <w:jc w:val="both"/>
              <w:rPr>
                <w:szCs w:val="21"/>
                <w:lang w:eastAsia="zh-CN"/>
              </w:rPr>
            </w:pPr>
            <w:r>
              <w:rPr>
                <w:rFonts w:hint="eastAsia"/>
                <w:szCs w:val="21"/>
                <w:lang w:eastAsia="zh-CN"/>
              </w:rPr>
              <w:t>关键</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2" w:edGrp="everyone"/>
          </w:p>
        </w:tc>
        <w:tc>
          <w:tcPr>
            <w:tcW w:w="7128" w:type="dxa"/>
            <w:shd w:val="clear" w:color="auto" w:fill="auto"/>
            <w:vAlign w:val="center"/>
          </w:tcPr>
          <w:p>
            <w:pPr>
              <w:spacing w:line="276" w:lineRule="auto"/>
              <w:jc w:val="both"/>
              <w:rPr>
                <w:color w:val="000000" w:themeColor="text1"/>
                <w:szCs w:val="21"/>
                <w:lang w:eastAsia="zh-CN"/>
              </w:rPr>
            </w:pPr>
            <w:r>
              <w:rPr>
                <w:color w:val="000000" w:themeColor="text1"/>
                <w:lang w:eastAsia="zh-CN"/>
              </w:rPr>
              <w:t>设备运输在运输途中需做好防护措施，不得有任何损伤。</w:t>
            </w:r>
          </w:p>
        </w:tc>
        <w:tc>
          <w:tcPr>
            <w:tcW w:w="2125" w:type="dxa"/>
            <w:shd w:val="clear" w:color="auto" w:fill="auto"/>
            <w:vAlign w:val="center"/>
          </w:tcPr>
          <w:p>
            <w:pPr>
              <w:jc w:val="both"/>
              <w:rPr>
                <w:szCs w:val="21"/>
                <w:lang w:eastAsia="zh-CN"/>
              </w:rPr>
            </w:pPr>
            <w:r>
              <w:rPr>
                <w:rFonts w:hint="eastAsia"/>
                <w:szCs w:val="21"/>
                <w:lang w:eastAsia="zh-CN"/>
              </w:rPr>
              <w:t>关键</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3" w:edGrp="everyone"/>
          </w:p>
        </w:tc>
        <w:tc>
          <w:tcPr>
            <w:tcW w:w="7128" w:type="dxa"/>
            <w:shd w:val="clear" w:color="auto" w:fill="auto"/>
            <w:vAlign w:val="center"/>
          </w:tcPr>
          <w:p>
            <w:pPr>
              <w:spacing w:line="276" w:lineRule="auto"/>
              <w:jc w:val="both"/>
              <w:rPr>
                <w:rStyle w:val="24"/>
                <w:lang w:eastAsia="zh-CN"/>
              </w:rPr>
            </w:pPr>
            <w:r>
              <w:rPr>
                <w:rFonts w:hint="eastAsia" w:ascii="宋体" w:hAnsi="宋体"/>
                <w:szCs w:val="21"/>
                <w:lang w:eastAsia="zh-CN"/>
              </w:rPr>
              <w:t>验证包括</w:t>
            </w:r>
            <w:r>
              <w:rPr>
                <w:rFonts w:hint="eastAsia" w:ascii="宋体" w:hAnsi="宋体"/>
                <w:szCs w:val="21"/>
                <w:lang w:val="en-US" w:eastAsia="zh-CN"/>
              </w:rPr>
              <w:t>IQ,</w:t>
            </w:r>
            <w:r>
              <w:rPr>
                <w:rFonts w:hint="eastAsia" w:ascii="宋体" w:hAnsi="宋体"/>
                <w:szCs w:val="21"/>
                <w:lang w:eastAsia="zh-CN"/>
              </w:rPr>
              <w:t>OQ文件与服务，供应商必须派出具备该类系统验证经验，且熟悉验证相关文件编写及验证工作实施的验证工程师开展验证工作。</w:t>
            </w:r>
          </w:p>
        </w:tc>
        <w:tc>
          <w:tcPr>
            <w:tcW w:w="2125" w:type="dxa"/>
            <w:shd w:val="clear" w:color="auto" w:fill="auto"/>
            <w:vAlign w:val="center"/>
          </w:tcPr>
          <w:p>
            <w:pPr>
              <w:jc w:val="both"/>
              <w:rPr>
                <w:szCs w:val="21"/>
                <w:lang w:eastAsia="zh-CN"/>
              </w:rPr>
            </w:pPr>
            <w:r>
              <w:rPr>
                <w:rFonts w:hint="eastAsia"/>
                <w:szCs w:val="21"/>
                <w:lang w:eastAsia="zh-CN"/>
              </w:rPr>
              <w:t>关键</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4" w:edGrp="everyone"/>
          </w:p>
        </w:tc>
        <w:tc>
          <w:tcPr>
            <w:tcW w:w="7128" w:type="dxa"/>
            <w:shd w:val="clear" w:color="auto" w:fill="auto"/>
            <w:vAlign w:val="center"/>
          </w:tcPr>
          <w:p>
            <w:pPr>
              <w:spacing w:line="276" w:lineRule="auto"/>
              <w:jc w:val="both"/>
              <w:rPr>
                <w:rStyle w:val="24"/>
                <w:lang w:eastAsia="zh-CN"/>
              </w:rPr>
            </w:pPr>
            <w:r>
              <w:rPr>
                <w:rFonts w:hint="eastAsia" w:ascii="宋体" w:hAnsi="宋体"/>
                <w:szCs w:val="21"/>
                <w:lang w:eastAsia="zh-CN"/>
              </w:rPr>
              <w:t>各验证工作开始前验证方案需经过本公司相关部门审核，并经质量保证部批准。</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Style w:val="24"/>
                <w:lang w:eastAsia="zh-CN"/>
              </w:rPr>
            </w:pPr>
            <w:r>
              <w:rPr>
                <w:rFonts w:hint="eastAsia" w:ascii="宋体" w:hAnsi="宋体"/>
                <w:szCs w:val="21"/>
                <w:lang w:eastAsia="zh-CN"/>
              </w:rPr>
              <w:t>验证工作应按时保质完成，供应商需提供验证工作计划表。</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Style w:val="24"/>
                <w:lang w:eastAsia="zh-CN"/>
              </w:rPr>
            </w:pPr>
            <w:r>
              <w:rPr>
                <w:rFonts w:hint="eastAsia" w:ascii="宋体" w:hAnsi="宋体"/>
                <w:szCs w:val="21"/>
                <w:lang w:eastAsia="zh-CN"/>
              </w:rPr>
              <w:t>验证项目应包含法规要求的测试项目，以及本公司提出的测试项目。</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Style w:val="24"/>
                <w:lang w:eastAsia="zh-CN"/>
              </w:rPr>
            </w:pPr>
            <w:r>
              <w:rPr>
                <w:rFonts w:hint="eastAsia" w:ascii="宋体" w:hAnsi="宋体"/>
                <w:szCs w:val="21"/>
                <w:lang w:eastAsia="zh-CN"/>
              </w:rPr>
              <w:t>验证工作完成后，验证记录经本公司相关部门审核，并经质量保证部批准。</w:t>
            </w:r>
          </w:p>
        </w:tc>
        <w:tc>
          <w:tcPr>
            <w:tcW w:w="2125" w:type="dxa"/>
            <w:shd w:val="clear" w:color="auto" w:fill="auto"/>
            <w:vAlign w:val="center"/>
          </w:tcPr>
          <w:p>
            <w:pPr>
              <w:jc w:val="both"/>
              <w:rPr>
                <w:szCs w:val="21"/>
                <w:lang w:eastAsia="zh-CN"/>
              </w:rPr>
            </w:pPr>
            <w:r>
              <w:rPr>
                <w:rFonts w:hint="eastAsia"/>
                <w:szCs w:val="21"/>
                <w:lang w:eastAsia="zh-CN"/>
              </w:rPr>
              <w:t>关键</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5"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设备保质期从确认验收文件签署之后开始计算。</w:t>
            </w:r>
          </w:p>
        </w:tc>
        <w:tc>
          <w:tcPr>
            <w:tcW w:w="2125" w:type="dxa"/>
            <w:shd w:val="clear" w:color="auto" w:fill="auto"/>
            <w:vAlign w:val="center"/>
          </w:tcPr>
          <w:p>
            <w:pPr>
              <w:jc w:val="both"/>
              <w:rPr>
                <w:szCs w:val="21"/>
                <w:lang w:eastAsia="zh-CN"/>
              </w:rPr>
            </w:pPr>
            <w:r>
              <w:rPr>
                <w:rFonts w:hint="eastAsia"/>
                <w:szCs w:val="21"/>
                <w:lang w:eastAsia="zh-CN"/>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6"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设备质保期为一年以上，保质期内免费保修并免费更换所有配件，保质期后应提供良好的售后服务</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eastAsia="zh-CN"/>
              </w:rPr>
              <w:t>售后服务必须响应及时，要求仪器出现须厂家维修的故障后，应在4小时内明确答复，当电话沟通无法解决时，须48小时内派人至现场解决。</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eastAsia="zh-CN"/>
              </w:rPr>
              <w:t>免费保修期后，厂家应终生提供及时的维修、维护，厂家应定期回访，解决仪器运行当中可能出现的疑问，排除潜在故障，使仪器保持良好工作状态。</w:t>
            </w:r>
          </w:p>
        </w:tc>
        <w:tc>
          <w:tcPr>
            <w:tcW w:w="2125" w:type="dxa"/>
            <w:shd w:val="clear" w:color="auto" w:fill="auto"/>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eastAsia="zh-CN"/>
              </w:rPr>
              <w:t>厂家应提供合格的备件，用于仪器相应部件的维修、更换。</w:t>
            </w:r>
          </w:p>
        </w:tc>
        <w:tc>
          <w:tcPr>
            <w:tcW w:w="2125" w:type="dxa"/>
            <w:shd w:val="clear" w:color="auto" w:fill="auto"/>
            <w:vAlign w:val="center"/>
          </w:tcPr>
          <w:p>
            <w:pPr>
              <w:jc w:val="both"/>
              <w:rPr>
                <w:szCs w:val="21"/>
                <w:lang w:eastAsia="zh-CN"/>
              </w:rPr>
            </w:pPr>
            <w:r>
              <w:rPr>
                <w:rFonts w:hint="eastAsia"/>
                <w:szCs w:val="21"/>
                <w:lang w:eastAsia="zh-CN"/>
              </w:rPr>
              <w:t>关键</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7"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货物到达买方使用现场后，由买卖双方共同验收，卖方工程师免费为买方提供调试。</w:t>
            </w:r>
          </w:p>
        </w:tc>
        <w:tc>
          <w:tcPr>
            <w:tcW w:w="2125" w:type="dxa"/>
            <w:shd w:val="clear" w:color="auto" w:fill="auto"/>
            <w:vAlign w:val="center"/>
          </w:tcPr>
          <w:p>
            <w:pPr>
              <w:jc w:val="both"/>
              <w:rPr>
                <w:szCs w:val="21"/>
                <w:lang w:eastAsia="zh-CN"/>
              </w:rPr>
            </w:pPr>
            <w:r>
              <w:rPr>
                <w:rFonts w:hint="eastAsia"/>
                <w:szCs w:val="21"/>
                <w:lang w:eastAsia="zh-CN"/>
              </w:rPr>
              <w:t>关键</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8"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供应商进厂施工需遵守安全和施工规定。确认试车验收合格后，买卖双方签订验收报告</w:t>
            </w:r>
          </w:p>
        </w:tc>
        <w:tc>
          <w:tcPr>
            <w:tcW w:w="2125" w:type="dxa"/>
            <w:shd w:val="clear" w:color="auto" w:fill="auto"/>
            <w:vAlign w:val="center"/>
          </w:tcPr>
          <w:p>
            <w:pPr>
              <w:jc w:val="both"/>
              <w:rPr>
                <w:szCs w:val="21"/>
                <w:lang w:eastAsia="zh-CN"/>
              </w:rPr>
            </w:pPr>
            <w:r>
              <w:rPr>
                <w:rFonts w:hint="eastAsia"/>
                <w:szCs w:val="21"/>
                <w:lang w:eastAsia="zh-CN"/>
              </w:rPr>
              <w:t>关键</w:t>
            </w:r>
          </w:p>
        </w:tc>
      </w:tr>
      <w:permEnd w:id="38"/>
    </w:tbl>
    <w:p>
      <w:pPr>
        <w:rPr>
          <w:lang w:eastAsia="zh-CN"/>
        </w:rPr>
      </w:pPr>
    </w:p>
    <w:p>
      <w:pPr>
        <w:pStyle w:val="31"/>
        <w:numPr>
          <w:ilvl w:val="0"/>
          <w:numId w:val="3"/>
        </w:numPr>
        <w:spacing w:after="158" w:afterLines="50"/>
        <w:ind w:left="426" w:hanging="426" w:hangingChars="202"/>
        <w:outlineLvl w:val="0"/>
        <w:rPr>
          <w:rFonts w:ascii="Times New Roman" w:hAnsi="Times New Roman"/>
          <w:b/>
        </w:rPr>
      </w:pPr>
      <w:bookmarkStart w:id="45" w:name="_Toc522716126"/>
      <w:bookmarkStart w:id="46" w:name="_Toc522107746"/>
      <w:r>
        <w:rPr>
          <w:rFonts w:ascii="Times New Roman" w:hAnsi="Times New Roman"/>
          <w:b/>
        </w:rPr>
        <w:t>附件</w:t>
      </w:r>
      <w:bookmarkEnd w:id="45"/>
      <w:bookmarkEnd w:id="46"/>
    </w:p>
    <w:bookmarkEnd w:id="29"/>
    <w:bookmarkEnd w:id="30"/>
    <w:bookmarkEnd w:id="31"/>
    <w:bookmarkEnd w:id="32"/>
    <w:bookmarkEnd w:id="33"/>
    <w:bookmarkEnd w:id="34"/>
    <w:bookmarkEnd w:id="35"/>
    <w:bookmarkEnd w:id="36"/>
    <w:bookmarkEnd w:id="37"/>
    <w:bookmarkEnd w:id="38"/>
    <w:bookmarkEnd w:id="39"/>
    <w:bookmarkEnd w:id="40"/>
    <w:p>
      <w:pPr>
        <w:pStyle w:val="41"/>
        <w:spacing w:before="0" w:line="360" w:lineRule="auto"/>
        <w:ind w:left="357"/>
        <w:jc w:val="left"/>
        <w:rPr>
          <w:color w:val="000000" w:themeColor="text1"/>
          <w:szCs w:val="21"/>
          <w:lang w:eastAsia="zh-CN"/>
        </w:rPr>
      </w:pPr>
      <w:permStart w:id="39" w:edGrp="everyone"/>
      <w:r>
        <w:rPr>
          <w:rFonts w:hint="eastAsia"/>
          <w:color w:val="000000" w:themeColor="text1"/>
          <w:szCs w:val="21"/>
          <w:lang w:eastAsia="zh-CN"/>
        </w:rPr>
        <w:t>不适用</w:t>
      </w:r>
      <w:permEnd w:id="39"/>
    </w:p>
    <w:sectPr>
      <w:footerReference r:id="rId3"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6"/>
        <w:tab w:val="clear" w:pos="8640"/>
      </w:tabs>
      <w:ind w:right="-285"/>
      <w:rPr>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2689A"/>
    <w:multiLevelType w:val="multilevel"/>
    <w:tmpl w:val="0892689A"/>
    <w:lvl w:ilvl="0" w:tentative="0">
      <w:start w:val="1"/>
      <w:numFmt w:val="decimal"/>
      <w:lvlText w:val="6.%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273409"/>
    <w:multiLevelType w:val="multilevel"/>
    <w:tmpl w:val="11273409"/>
    <w:lvl w:ilvl="0" w:tentative="0">
      <w:start w:val="1"/>
      <w:numFmt w:val="decimal"/>
      <w:lvlText w:val="7.%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341CC"/>
    <w:multiLevelType w:val="multilevel"/>
    <w:tmpl w:val="16D341CC"/>
    <w:lvl w:ilvl="0" w:tentative="0">
      <w:start w:val="1"/>
      <w:numFmt w:val="decimal"/>
      <w:lvlText w:val="URS %1"/>
      <w:lvlJc w:val="left"/>
      <w:pPr>
        <w:ind w:left="846"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2768E53C"/>
    <w:multiLevelType w:val="multilevel"/>
    <w:tmpl w:val="2768E53C"/>
    <w:lvl w:ilvl="0" w:tentative="0">
      <w:start w:val="1"/>
      <w:numFmt w:val="decimal"/>
      <w:lvlText w:val="11.%1"/>
      <w:lvlJc w:val="left"/>
      <w:pPr>
        <w:ind w:left="846"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86546ED"/>
    <w:multiLevelType w:val="multilevel"/>
    <w:tmpl w:val="686546ED"/>
    <w:lvl w:ilvl="0" w:tentative="0">
      <w:start w:val="1"/>
      <w:numFmt w:val="decimal"/>
      <w:pStyle w:val="37"/>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10"/>
  </w:num>
  <w:num w:numId="3">
    <w:abstractNumId w:val="6"/>
  </w:num>
  <w:num w:numId="4">
    <w:abstractNumId w:val="9"/>
  </w:num>
  <w:num w:numId="5">
    <w:abstractNumId w:val="5"/>
  </w:num>
  <w:num w:numId="6">
    <w:abstractNumId w:val="0"/>
  </w:num>
  <w:num w:numId="7">
    <w:abstractNumId w:val="4"/>
  </w:num>
  <w:num w:numId="8">
    <w:abstractNumId w:val="3"/>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formatting="1" w:enforcement="0"/>
  <w:defaultTabStop w:val="720"/>
  <w:drawingGridHorizontalSpacing w:val="120"/>
  <w:drawingGridVerticalSpacing w:val="158"/>
  <w:displayHorizontalDrawingGridEvery w:val="0"/>
  <w:displayVerticalDrawingGridEvery w:val="0"/>
  <w:characterSpacingControl w:val="doNotCompress"/>
  <w:compat>
    <w:useFELayout/>
    <w:compatSetting w:name="compatibilityMode" w:uri="http://schemas.microsoft.com/office/word" w:val="12"/>
  </w:compat>
  <w:docVars>
    <w:docVar w:name="commondata" w:val="eyJoZGlkIjoiOWViMzMyNThhMjE2MzgwM2Q2ZmYxMmJhY2ViNDVlYzEifQ=="/>
  </w:docVars>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146F"/>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09AD"/>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7980"/>
    <w:rsid w:val="002B0A7C"/>
    <w:rsid w:val="002B14F3"/>
    <w:rsid w:val="002B480A"/>
    <w:rsid w:val="002B67A2"/>
    <w:rsid w:val="002B6854"/>
    <w:rsid w:val="002C044A"/>
    <w:rsid w:val="002C1817"/>
    <w:rsid w:val="002C1DAB"/>
    <w:rsid w:val="002C4FCF"/>
    <w:rsid w:val="002C527C"/>
    <w:rsid w:val="002C79ED"/>
    <w:rsid w:val="002D0253"/>
    <w:rsid w:val="002D03CD"/>
    <w:rsid w:val="002D2477"/>
    <w:rsid w:val="002D2AAB"/>
    <w:rsid w:val="002D691F"/>
    <w:rsid w:val="002D6A50"/>
    <w:rsid w:val="002D6D1C"/>
    <w:rsid w:val="002E1A1A"/>
    <w:rsid w:val="002E1D21"/>
    <w:rsid w:val="002E3B36"/>
    <w:rsid w:val="002E59BF"/>
    <w:rsid w:val="002E63F6"/>
    <w:rsid w:val="002E68C3"/>
    <w:rsid w:val="002E69A1"/>
    <w:rsid w:val="002F1C5E"/>
    <w:rsid w:val="002F1D63"/>
    <w:rsid w:val="002F340E"/>
    <w:rsid w:val="002F4392"/>
    <w:rsid w:val="002F4641"/>
    <w:rsid w:val="002F4B22"/>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0EB9"/>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240E"/>
    <w:rsid w:val="00402756"/>
    <w:rsid w:val="00405B3A"/>
    <w:rsid w:val="004074DC"/>
    <w:rsid w:val="004111CC"/>
    <w:rsid w:val="004122A3"/>
    <w:rsid w:val="00416E8B"/>
    <w:rsid w:val="00417891"/>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45C90"/>
    <w:rsid w:val="004510B1"/>
    <w:rsid w:val="00451C5D"/>
    <w:rsid w:val="00451D74"/>
    <w:rsid w:val="00452E73"/>
    <w:rsid w:val="004565EF"/>
    <w:rsid w:val="00457FF9"/>
    <w:rsid w:val="004601ED"/>
    <w:rsid w:val="00460711"/>
    <w:rsid w:val="0046108B"/>
    <w:rsid w:val="00467AE6"/>
    <w:rsid w:val="00467EC9"/>
    <w:rsid w:val="00477791"/>
    <w:rsid w:val="00480286"/>
    <w:rsid w:val="00480C3B"/>
    <w:rsid w:val="00480FE3"/>
    <w:rsid w:val="00481C94"/>
    <w:rsid w:val="00484A8D"/>
    <w:rsid w:val="00486A4E"/>
    <w:rsid w:val="00486B09"/>
    <w:rsid w:val="0049139F"/>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5CE5"/>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24FD6"/>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E2725"/>
    <w:rsid w:val="005E65FA"/>
    <w:rsid w:val="005F19CE"/>
    <w:rsid w:val="005F28F4"/>
    <w:rsid w:val="005F3B33"/>
    <w:rsid w:val="005F43BB"/>
    <w:rsid w:val="005F503E"/>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11A"/>
    <w:rsid w:val="0066445E"/>
    <w:rsid w:val="00667045"/>
    <w:rsid w:val="00670A00"/>
    <w:rsid w:val="00670C23"/>
    <w:rsid w:val="00672B86"/>
    <w:rsid w:val="00673031"/>
    <w:rsid w:val="00673EB3"/>
    <w:rsid w:val="00674452"/>
    <w:rsid w:val="00680BE8"/>
    <w:rsid w:val="00686409"/>
    <w:rsid w:val="00686D19"/>
    <w:rsid w:val="0068777F"/>
    <w:rsid w:val="00693018"/>
    <w:rsid w:val="006A0059"/>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7938"/>
    <w:rsid w:val="006E79FB"/>
    <w:rsid w:val="006F1AD4"/>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475F2"/>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B90"/>
    <w:rsid w:val="0078639C"/>
    <w:rsid w:val="007913D3"/>
    <w:rsid w:val="0079790C"/>
    <w:rsid w:val="007A102A"/>
    <w:rsid w:val="007A13EB"/>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3532"/>
    <w:rsid w:val="007E5FE3"/>
    <w:rsid w:val="007E64DF"/>
    <w:rsid w:val="007E657D"/>
    <w:rsid w:val="007E7119"/>
    <w:rsid w:val="007E71BB"/>
    <w:rsid w:val="007E7B90"/>
    <w:rsid w:val="007E7C13"/>
    <w:rsid w:val="007F2464"/>
    <w:rsid w:val="007F4A64"/>
    <w:rsid w:val="007F4ADE"/>
    <w:rsid w:val="007F5A5A"/>
    <w:rsid w:val="007F5D95"/>
    <w:rsid w:val="007F5EDC"/>
    <w:rsid w:val="007F77B9"/>
    <w:rsid w:val="00800AFD"/>
    <w:rsid w:val="00800C1B"/>
    <w:rsid w:val="0080239D"/>
    <w:rsid w:val="00803CF3"/>
    <w:rsid w:val="00806EAB"/>
    <w:rsid w:val="00810E52"/>
    <w:rsid w:val="00811CA7"/>
    <w:rsid w:val="0081636E"/>
    <w:rsid w:val="0082112E"/>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3ED"/>
    <w:rsid w:val="00864BC6"/>
    <w:rsid w:val="00865EE6"/>
    <w:rsid w:val="00870D23"/>
    <w:rsid w:val="00872B72"/>
    <w:rsid w:val="00873022"/>
    <w:rsid w:val="00876468"/>
    <w:rsid w:val="008767E1"/>
    <w:rsid w:val="00876CC7"/>
    <w:rsid w:val="008823E4"/>
    <w:rsid w:val="008837C4"/>
    <w:rsid w:val="008849F3"/>
    <w:rsid w:val="00884E78"/>
    <w:rsid w:val="0088673B"/>
    <w:rsid w:val="008868C7"/>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2FC3"/>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2120"/>
    <w:rsid w:val="00955899"/>
    <w:rsid w:val="00955A03"/>
    <w:rsid w:val="00955AE0"/>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4D6D"/>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0FA"/>
    <w:rsid w:val="009B5BF6"/>
    <w:rsid w:val="009C1C2F"/>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0F69"/>
    <w:rsid w:val="00A322BF"/>
    <w:rsid w:val="00A3373F"/>
    <w:rsid w:val="00A33F51"/>
    <w:rsid w:val="00A349DF"/>
    <w:rsid w:val="00A40311"/>
    <w:rsid w:val="00A41032"/>
    <w:rsid w:val="00A4106C"/>
    <w:rsid w:val="00A419F7"/>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175E"/>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53E7"/>
    <w:rsid w:val="00B35759"/>
    <w:rsid w:val="00B3619A"/>
    <w:rsid w:val="00B365B7"/>
    <w:rsid w:val="00B4086D"/>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B2D"/>
    <w:rsid w:val="00BB7375"/>
    <w:rsid w:val="00BC0500"/>
    <w:rsid w:val="00BC29DF"/>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11905"/>
    <w:rsid w:val="00C14462"/>
    <w:rsid w:val="00C16542"/>
    <w:rsid w:val="00C17678"/>
    <w:rsid w:val="00C22382"/>
    <w:rsid w:val="00C2355B"/>
    <w:rsid w:val="00C26957"/>
    <w:rsid w:val="00C274A6"/>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4FC6"/>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55BD"/>
    <w:rsid w:val="00CB0837"/>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4F9E"/>
    <w:rsid w:val="00D1658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399A"/>
    <w:rsid w:val="00D5444F"/>
    <w:rsid w:val="00D54E0D"/>
    <w:rsid w:val="00D54F7D"/>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196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2421"/>
    <w:rsid w:val="00DD3222"/>
    <w:rsid w:val="00DD3D81"/>
    <w:rsid w:val="00DD571C"/>
    <w:rsid w:val="00DD64E1"/>
    <w:rsid w:val="00DE039A"/>
    <w:rsid w:val="00DE0403"/>
    <w:rsid w:val="00DE4811"/>
    <w:rsid w:val="00DE5458"/>
    <w:rsid w:val="00DE5EE6"/>
    <w:rsid w:val="00DE77EA"/>
    <w:rsid w:val="00DF0ABA"/>
    <w:rsid w:val="00DF1EEE"/>
    <w:rsid w:val="00DF6C58"/>
    <w:rsid w:val="00E001C1"/>
    <w:rsid w:val="00E039F3"/>
    <w:rsid w:val="00E03C30"/>
    <w:rsid w:val="00E078BD"/>
    <w:rsid w:val="00E078F8"/>
    <w:rsid w:val="00E1142B"/>
    <w:rsid w:val="00E11F10"/>
    <w:rsid w:val="00E157E4"/>
    <w:rsid w:val="00E15950"/>
    <w:rsid w:val="00E15D2A"/>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64BD9"/>
    <w:rsid w:val="00E706B6"/>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06E3"/>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604E3"/>
    <w:rsid w:val="00F610E6"/>
    <w:rsid w:val="00F61FCC"/>
    <w:rsid w:val="00F66036"/>
    <w:rsid w:val="00F6689D"/>
    <w:rsid w:val="00F67E23"/>
    <w:rsid w:val="00F71601"/>
    <w:rsid w:val="00F72C75"/>
    <w:rsid w:val="00F74033"/>
    <w:rsid w:val="00F74DCD"/>
    <w:rsid w:val="00F759EB"/>
    <w:rsid w:val="00F772F7"/>
    <w:rsid w:val="00F81334"/>
    <w:rsid w:val="00F81A81"/>
    <w:rsid w:val="00F81CC5"/>
    <w:rsid w:val="00F86C46"/>
    <w:rsid w:val="00F8760D"/>
    <w:rsid w:val="00F87AAD"/>
    <w:rsid w:val="00F87EE6"/>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1EE01AE4"/>
    <w:rsid w:val="30D95F31"/>
    <w:rsid w:val="36DF41D1"/>
    <w:rsid w:val="70DB66DA"/>
    <w:rsid w:val="768A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semiHidden/>
    <w:qFormat/>
    <w:uiPriority w:val="0"/>
  </w:style>
  <w:style w:type="paragraph" w:styleId="7">
    <w:name w:val="Body Text 3"/>
    <w:basedOn w:val="1"/>
    <w:qFormat/>
    <w:uiPriority w:val="0"/>
    <w:pPr>
      <w:spacing w:after="120"/>
    </w:pPr>
    <w:rPr>
      <w:sz w:val="16"/>
      <w:szCs w:val="16"/>
    </w:rPr>
  </w:style>
  <w:style w:type="paragraph" w:styleId="8">
    <w:name w:val="Body Text"/>
    <w:basedOn w:val="1"/>
    <w:qFormat/>
    <w:uiPriority w:val="0"/>
    <w:pPr>
      <w:ind w:right="56"/>
    </w:pPr>
    <w:rPr>
      <w:b/>
      <w:sz w:val="22"/>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4"/>
    <w:qFormat/>
    <w:uiPriority w:val="99"/>
    <w:pPr>
      <w:tabs>
        <w:tab w:val="center" w:pos="4320"/>
        <w:tab w:val="right" w:pos="8640"/>
      </w:tabs>
    </w:pPr>
  </w:style>
  <w:style w:type="paragraph" w:styleId="14">
    <w:name w:val="header"/>
    <w:basedOn w:val="1"/>
    <w:link w:val="26"/>
    <w:qFormat/>
    <w:uiPriority w:val="0"/>
    <w:pPr>
      <w:tabs>
        <w:tab w:val="center" w:pos="4320"/>
        <w:tab w:val="right" w:pos="8640"/>
      </w:tabs>
    </w:pPr>
  </w:style>
  <w:style w:type="paragraph" w:styleId="15">
    <w:name w:val="toc 1"/>
    <w:basedOn w:val="1"/>
    <w:next w:val="1"/>
    <w:qFormat/>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7">
    <w:name w:val="Title"/>
    <w:basedOn w:val="1"/>
    <w:next w:val="1"/>
    <w:link w:val="44"/>
    <w:qFormat/>
    <w:uiPriority w:val="0"/>
    <w:pPr>
      <w:spacing w:before="240" w:after="60"/>
      <w:jc w:val="center"/>
      <w:outlineLvl w:val="0"/>
    </w:pPr>
    <w:rPr>
      <w:rFonts w:ascii="Calibri Light" w:hAnsi="Calibri Light"/>
      <w:b/>
      <w:bCs/>
      <w:sz w:val="32"/>
      <w:szCs w:val="32"/>
    </w:rPr>
  </w:style>
  <w:style w:type="paragraph" w:styleId="18">
    <w:name w:val="annotation subject"/>
    <w:basedOn w:val="6"/>
    <w:next w:val="6"/>
    <w:semiHidden/>
    <w:qFormat/>
    <w:uiPriority w:val="0"/>
    <w:rPr>
      <w:b/>
      <w:bCs/>
    </w:rPr>
  </w:style>
  <w:style w:type="table" w:styleId="20">
    <w:name w:val="Table Grid"/>
    <w:basedOn w:val="19"/>
    <w:qFormat/>
    <w:uiPriority w:val="5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paragraph" w:customStyle="1" w:styleId="25">
    <w:name w:val="Table"/>
    <w:basedOn w:val="1"/>
    <w:qFormat/>
    <w:uiPriority w:val="0"/>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26">
    <w:name w:val="页眉 Char"/>
    <w:link w:val="14"/>
    <w:qFormat/>
    <w:uiPriority w:val="0"/>
    <w:rPr>
      <w:rFonts w:eastAsia="宋体"/>
      <w:sz w:val="24"/>
      <w:lang w:val="en-GB" w:eastAsia="en-US" w:bidi="ar-SA"/>
    </w:rPr>
  </w:style>
  <w:style w:type="paragraph" w:customStyle="1" w:styleId="27">
    <w:name w:val="Default Text"/>
    <w:basedOn w:val="1"/>
    <w:qFormat/>
    <w:uiPriority w:val="0"/>
    <w:pPr>
      <w:overflowPunct/>
      <w:textAlignment w:val="auto"/>
    </w:pPr>
    <w:rPr>
      <w:rFonts w:ascii="Arial" w:hAnsi="Arial"/>
      <w:szCs w:val="24"/>
      <w:lang w:val="en-US"/>
    </w:rPr>
  </w:style>
  <w:style w:type="paragraph" w:customStyle="1" w:styleId="28">
    <w:name w:val="Style"/>
    <w:basedOn w:val="1"/>
    <w:qFormat/>
    <w:uiPriority w:val="0"/>
    <w:pPr>
      <w:overflowPunct/>
      <w:textAlignment w:val="auto"/>
    </w:pPr>
    <w:rPr>
      <w:rFonts w:ascii="Arial" w:hAnsi="Arial"/>
      <w:szCs w:val="24"/>
      <w:lang w:val="en-US"/>
    </w:rPr>
  </w:style>
  <w:style w:type="paragraph" w:customStyle="1" w:styleId="29">
    <w:name w:val="正文1"/>
    <w:basedOn w:val="1"/>
    <w:qFormat/>
    <w:uiPriority w:val="0"/>
    <w:pPr>
      <w:overflowPunct/>
      <w:textAlignment w:val="auto"/>
    </w:pPr>
    <w:rPr>
      <w:rFonts w:ascii="Arial" w:hAnsi="Arial"/>
      <w:sz w:val="20"/>
      <w:lang w:val="en-US"/>
    </w:rPr>
  </w:style>
  <w:style w:type="paragraph" w:customStyle="1" w:styleId="30">
    <w:name w:val="修订1"/>
    <w:hidden/>
    <w:semiHidden/>
    <w:qFormat/>
    <w:uiPriority w:val="99"/>
    <w:rPr>
      <w:rFonts w:ascii="Times New Roman" w:hAnsi="Times New Roman" w:eastAsia="宋体" w:cs="Times New Roman"/>
      <w:sz w:val="24"/>
      <w:lang w:val="en-GB" w:eastAsia="en-US" w:bidi="ar-SA"/>
    </w:rPr>
  </w:style>
  <w:style w:type="paragraph" w:styleId="31">
    <w:name w:val="List Paragraph"/>
    <w:basedOn w:val="1"/>
    <w:qFormat/>
    <w:uiPriority w:val="99"/>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character" w:customStyle="1" w:styleId="32">
    <w:name w:val="批注文字 Char"/>
    <w:link w:val="6"/>
    <w:semiHidden/>
    <w:qFormat/>
    <w:uiPriority w:val="0"/>
    <w:rPr>
      <w:sz w:val="24"/>
      <w:lang w:val="en-GB" w:eastAsia="en-US"/>
    </w:rPr>
  </w:style>
  <w:style w:type="paragraph" w:customStyle="1" w:styleId="33">
    <w:name w:val="TOC 标题1"/>
    <w:basedOn w:val="2"/>
    <w:next w:val="1"/>
    <w:qFormat/>
    <w:uiPriority w:val="39"/>
    <w:pPr>
      <w:numPr>
        <w:numId w:val="0"/>
      </w:numPr>
      <w:outlineLvl w:val="9"/>
    </w:pPr>
  </w:style>
  <w:style w:type="character" w:customStyle="1" w:styleId="34">
    <w:name w:val="页脚 Char"/>
    <w:link w:val="13"/>
    <w:qFormat/>
    <w:uiPriority w:val="99"/>
    <w:rPr>
      <w:sz w:val="24"/>
      <w:lang w:val="en-GB" w:eastAsia="en-US"/>
    </w:rPr>
  </w:style>
  <w:style w:type="character" w:customStyle="1" w:styleId="35">
    <w:name w:val="instruction standard blue"/>
    <w:qFormat/>
    <w:uiPriority w:val="1"/>
    <w:rPr>
      <w:rFonts w:cs="Arial"/>
      <w:i/>
      <w:color w:val="0070C0"/>
    </w:rPr>
  </w:style>
  <w:style w:type="character" w:customStyle="1" w:styleId="36">
    <w:name w:val="keyword"/>
    <w:basedOn w:val="21"/>
    <w:qFormat/>
    <w:uiPriority w:val="0"/>
  </w:style>
  <w:style w:type="paragraph" w:customStyle="1" w:styleId="37">
    <w:name w:val="numbering blue"/>
    <w:basedOn w:val="1"/>
    <w:link w:val="38"/>
    <w:qFormat/>
    <w:uiPriority w:val="0"/>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character" w:customStyle="1" w:styleId="38">
    <w:name w:val="numbering blue Zchn"/>
    <w:link w:val="37"/>
    <w:qFormat/>
    <w:uiPriority w:val="0"/>
    <w:rPr>
      <w:rFonts w:ascii="Arial" w:hAnsi="Arial" w:eastAsia="PMingLiU"/>
      <w:color w:val="0070C0"/>
      <w:lang w:eastAsia="zh-TW"/>
    </w:rPr>
  </w:style>
  <w:style w:type="paragraph" w:customStyle="1" w:styleId="39">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character" w:customStyle="1" w:styleId="40">
    <w:name w:val="Text Char"/>
    <w:link w:val="41"/>
    <w:qFormat/>
    <w:locked/>
    <w:uiPriority w:val="0"/>
    <w:rPr>
      <w:sz w:val="24"/>
      <w:lang w:eastAsia="en-US"/>
    </w:rPr>
  </w:style>
  <w:style w:type="paragraph" w:customStyle="1" w:styleId="41">
    <w:name w:val="Text"/>
    <w:basedOn w:val="1"/>
    <w:link w:val="40"/>
    <w:qFormat/>
    <w:uiPriority w:val="0"/>
    <w:pPr>
      <w:overflowPunct/>
      <w:autoSpaceDE/>
      <w:autoSpaceDN/>
      <w:adjustRightInd/>
      <w:spacing w:before="120"/>
      <w:jc w:val="both"/>
      <w:textAlignment w:val="auto"/>
    </w:pPr>
    <w:rPr>
      <w:lang w:val="en-US"/>
    </w:rPr>
  </w:style>
  <w:style w:type="character" w:customStyle="1" w:styleId="42">
    <w:name w:val="ordinary-span-edit2"/>
    <w:qFormat/>
    <w:uiPriority w:val="0"/>
  </w:style>
  <w:style w:type="character" w:customStyle="1" w:styleId="43">
    <w:name w:val="apple-converted-space"/>
    <w:basedOn w:val="21"/>
    <w:qFormat/>
    <w:uiPriority w:val="0"/>
  </w:style>
  <w:style w:type="character" w:customStyle="1" w:styleId="44">
    <w:name w:val="标题 Char"/>
    <w:link w:val="17"/>
    <w:qFormat/>
    <w:uiPriority w:val="0"/>
    <w:rPr>
      <w:rFonts w:ascii="Calibri Light" w:hAnsi="Calibri Light" w:cs="Times New Roman"/>
      <w:b/>
      <w:bCs/>
      <w:sz w:val="32"/>
      <w:szCs w:val="32"/>
      <w:lang w:val="en-GB" w:eastAsia="en-US"/>
    </w:rPr>
  </w:style>
  <w:style w:type="paragraph" w:customStyle="1" w:styleId="45">
    <w:name w:val="Table text"/>
    <w:basedOn w:val="1"/>
    <w:qFormat/>
    <w:uiPriority w:val="0"/>
    <w:pPr>
      <w:overflowPunct/>
      <w:autoSpaceDE/>
      <w:autoSpaceDN/>
      <w:adjustRightInd/>
      <w:spacing w:before="120" w:after="120"/>
      <w:jc w:val="both"/>
      <w:textAlignment w:val="auto"/>
    </w:pPr>
    <w:rPr>
      <w:lang w:val="en-US"/>
    </w:rPr>
  </w:style>
  <w:style w:type="character" w:customStyle="1" w:styleId="46">
    <w:name w:val="Footer Char"/>
    <w:basedOn w:val="21"/>
    <w:semiHidden/>
    <w:qFormat/>
    <w:locked/>
    <w:uiPriority w:val="0"/>
    <w:rPr>
      <w:rFonts w:cs="Times New Roman"/>
      <w:sz w:val="18"/>
      <w:szCs w:val="18"/>
    </w:rPr>
  </w:style>
  <w:style w:type="character" w:customStyle="1" w:styleId="47">
    <w:name w:val="doctitle"/>
    <w:basedOn w:val="2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11</Pages>
  <Words>754</Words>
  <Characters>4304</Characters>
  <Lines>35</Lines>
  <Paragraphs>10</Paragraphs>
  <TotalTime>5924</TotalTime>
  <ScaleCrop>false</ScaleCrop>
  <LinksUpToDate>false</LinksUpToDate>
  <CharactersWithSpaces>5048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2023-05-04T06:09:00Z</dcterms:created>
  <dc:creator>Lilly</dc:creator>
  <cp:lastModifiedBy>汪洋</cp:lastModifiedBy>
  <cp:lastPrinted>2023-07-03T07:39:00Z</cp:lastPrinted>
  <dcterms:modified xsi:type="dcterms:W3CDTF">2023-08-02T06:26:18Z</dcterms:modified>
  <dc:title>生效期：</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368C39D50BB844FC86039529C82D0167</vt:lpwstr>
  </property>
</Properties>
</file>