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236"/>
          <w:tab w:val="left" w:pos="7905"/>
        </w:tabs>
        <w:spacing w:after="158" w:afterLines="50"/>
      </w:pPr>
      <w:bookmarkStart w:id="0" w:name="_Toc483666358"/>
      <w:bookmarkStart w:id="1" w:name="_Toc482717189"/>
      <w:bookmarkStart w:id="2" w:name="_Toc483227223"/>
      <w:bookmarkStart w:id="3" w:name="_Toc483400307"/>
      <w:bookmarkStart w:id="4" w:name="_Toc484532399"/>
      <w:r>
        <w:rPr>
          <w:rFonts w:hint="eastAsia" w:ascii="宋体" w:hAnsi="宋体"/>
          <w:b/>
          <w:szCs w:val="21"/>
          <w:lang w:eastAsia="zh-CN"/>
        </w:rPr>
        <w:tab/>
      </w:r>
    </w:p>
    <w:p>
      <w:pPr>
        <w:pStyle w:val="17"/>
        <w:rPr>
          <w:b w:val="0"/>
          <w:szCs w:val="21"/>
          <w:lang w:eastAsia="zh-CN"/>
        </w:rPr>
      </w:pPr>
      <w:r>
        <w:rPr>
          <w:rFonts w:hint="eastAsia"/>
          <w:sz w:val="28"/>
          <w:szCs w:val="28"/>
          <w:lang w:eastAsia="zh-CN"/>
        </w:rPr>
        <w:t>温度控制与混匀仪</w:t>
      </w:r>
      <w:r>
        <w:rPr>
          <w:sz w:val="28"/>
          <w:szCs w:val="28"/>
          <w:lang w:eastAsia="zh-CN"/>
        </w:rPr>
        <w:t>用户需求说明（URS</w:t>
      </w:r>
      <w:r>
        <w:rPr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pStyle w:val="32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permStart w:id="0" w:edGrp="everyone"/>
      <w:permEnd w:id="0"/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5"/>
        <w:rPr>
          <w:b w:val="0"/>
          <w:bCs w:val="0"/>
          <w:caps w:val="0"/>
          <w:szCs w:val="22"/>
        </w:rPr>
      </w:pPr>
      <w:permStart w:id="1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4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4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4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4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4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4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4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4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4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4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4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4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4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4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  <w:permEnd w:id="1"/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bookmarkStart w:id="5" w:name="_Toc522107734"/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bookmarkEnd w:id="5"/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6" w:name="_Toc522107735"/>
      <w:bookmarkStart w:id="7" w:name="_Toc522716115"/>
      <w:r>
        <w:rPr>
          <w:rFonts w:ascii="Times New Roman" w:hAnsi="Times New Roman"/>
          <w:b/>
        </w:rPr>
        <w:t>目的</w:t>
      </w:r>
      <w:bookmarkEnd w:id="6"/>
      <w:bookmarkEnd w:id="7"/>
    </w:p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  <w:bookmarkStart w:id="8" w:name="_Toc482360281"/>
      <w:bookmarkStart w:id="9" w:name="_Toc482369805"/>
      <w:bookmarkStart w:id="10" w:name="_Toc481702475"/>
      <w:bookmarkStart w:id="11" w:name="_Toc482370141"/>
      <w:bookmarkStart w:id="12" w:name="_Toc482370349"/>
      <w:bookmarkStart w:id="13" w:name="_Toc482625279"/>
      <w:bookmarkStart w:id="14" w:name="_Toc482359936"/>
      <w:bookmarkStart w:id="15" w:name="_Toc482370757"/>
      <w:bookmarkStart w:id="16" w:name="_Toc482370061"/>
      <w:r>
        <w:rPr>
          <w:szCs w:val="21"/>
          <w:lang w:eastAsia="zh-CN"/>
        </w:rPr>
        <w:t>本文件的目的是描述武汉生物制品研究所有限责任公司</w:t>
      </w:r>
      <w:permStart w:id="2" w:edGrp="everyone"/>
      <w:r>
        <w:rPr>
          <w:rFonts w:hint="eastAsia"/>
          <w:szCs w:val="21"/>
          <w:lang w:eastAsia="zh-CN"/>
        </w:rPr>
        <w:t>新发传染病研究室购买温度控制与混匀仪</w:t>
      </w:r>
      <w:permEnd w:id="2"/>
      <w:r>
        <w:rPr>
          <w:szCs w:val="21"/>
          <w:lang w:eastAsia="zh-CN"/>
        </w:rPr>
        <w:t>用户需求说明（URS），以确保最终用户的需求在项目设计阶段得以实现，并作为后续验证工作的基础。</w:t>
      </w:r>
    </w:p>
    <w:p>
      <w:pPr>
        <w:pStyle w:val="35"/>
        <w:spacing w:before="0"/>
        <w:ind w:left="360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7" w:name="_Toc522107736"/>
      <w:bookmarkStart w:id="18" w:name="_Toc522716116"/>
      <w:r>
        <w:rPr>
          <w:rFonts w:ascii="Times New Roman" w:hAnsi="Times New Roman"/>
          <w:b/>
        </w:rPr>
        <w:t>范围</w:t>
      </w:r>
      <w:bookmarkEnd w:id="17"/>
      <w:bookmarkEnd w:id="18"/>
    </w:p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3" w:edGrp="everyone"/>
      <w:r>
        <w:rPr>
          <w:rFonts w:hint="eastAsia"/>
          <w:szCs w:val="21"/>
          <w:lang w:eastAsia="zh-CN"/>
        </w:rPr>
        <w:t>新发传染病研究室购买温度控制与混匀仪</w:t>
      </w:r>
      <w:permEnd w:id="3"/>
      <w:r>
        <w:rPr>
          <w:szCs w:val="21"/>
          <w:lang w:eastAsia="zh-CN"/>
        </w:rPr>
        <w:t>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9" w:name="_Toc522716117"/>
      <w:bookmarkStart w:id="20" w:name="_Toc522107737"/>
      <w:r>
        <w:rPr>
          <w:rFonts w:ascii="Times New Roman" w:hAnsi="Times New Roman"/>
          <w:b/>
        </w:rPr>
        <w:t>参考文件</w:t>
      </w:r>
      <w:bookmarkEnd w:id="19"/>
      <w:bookmarkEnd w:id="20"/>
    </w:p>
    <w:p>
      <w:pPr>
        <w:pStyle w:val="35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kern w:val="2"/>
          <w:szCs w:val="24"/>
          <w:lang w:eastAsia="zh-CN"/>
        </w:rPr>
        <w:t>《药品生产质量管理规范》（2010年修订版）及附录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kern w:val="2"/>
          <w:szCs w:val="24"/>
          <w:lang w:eastAsia="zh-CN"/>
        </w:rPr>
        <w:t>《药品G</w:t>
      </w:r>
      <w:r>
        <w:rPr>
          <w:rFonts w:ascii="宋体" w:hAnsi="宋体"/>
          <w:color w:val="000000"/>
          <w:kern w:val="2"/>
          <w:szCs w:val="24"/>
          <w:lang w:eastAsia="zh-CN"/>
        </w:rPr>
        <w:t>MP</w:t>
      </w:r>
      <w:r>
        <w:rPr>
          <w:rFonts w:hint="eastAsia" w:ascii="宋体" w:hAnsi="宋体"/>
          <w:color w:val="000000"/>
          <w:kern w:val="2"/>
          <w:szCs w:val="24"/>
          <w:lang w:eastAsia="zh-CN"/>
        </w:rPr>
        <w:t>指南》无菌药品（2011版）</w:t>
      </w:r>
    </w:p>
    <w:p>
      <w:pPr>
        <w:pStyle w:val="35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bookmarkStart w:id="21" w:name="_Toc522716118"/>
      <w:bookmarkStart w:id="22" w:name="_Toc522107738"/>
      <w:r>
        <w:rPr>
          <w:color w:val="000000"/>
          <w:szCs w:val="21"/>
          <w:lang w:eastAsia="zh-CN"/>
        </w:rPr>
        <w:t>电气安全应符合GB4793.1和GB4793.4的要求。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有电气设备的电线和电缆必须依据</w:t>
      </w:r>
      <w:r>
        <w:rPr>
          <w:color w:val="000000"/>
          <w:szCs w:val="21"/>
          <w:lang w:eastAsia="zh-CN"/>
        </w:rPr>
        <w:t>ICE</w:t>
      </w:r>
      <w:r>
        <w:rPr>
          <w:rFonts w:hint="eastAsia"/>
          <w:color w:val="000000"/>
          <w:szCs w:val="21"/>
          <w:lang w:eastAsia="zh-CN"/>
        </w:rPr>
        <w:t>标准。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安全达到国内相关标准及</w:t>
      </w:r>
      <w:r>
        <w:rPr>
          <w:color w:val="000000"/>
          <w:szCs w:val="21"/>
          <w:lang w:eastAsia="zh-CN"/>
        </w:rPr>
        <w:t>CE</w:t>
      </w:r>
      <w:r>
        <w:rPr>
          <w:rFonts w:hint="eastAsia"/>
          <w:color w:val="000000"/>
          <w:szCs w:val="21"/>
          <w:lang w:eastAsia="zh-CN"/>
        </w:rPr>
        <w:t>标准要求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设备功能失调或者故障的情况下，必须配备所有必要的保护措施，保证设备和产品仍然处于一个安全状态。必须提供设施保证人员，产品和设备安全。</w:t>
      </w:r>
    </w:p>
    <w:bookmarkEnd w:id="21"/>
    <w:bookmarkEnd w:id="22"/>
    <w:p>
      <w:pPr>
        <w:pStyle w:val="31"/>
        <w:spacing w:after="158" w:afterLines="50"/>
        <w:ind w:left="426" w:firstLine="0" w:firstLineChars="0"/>
        <w:outlineLvl w:val="0"/>
        <w:rPr>
          <w:rFonts w:ascii="Times New Roman" w:hAnsi="Times New Roman"/>
          <w:b/>
          <w:lang w:val="it-IT"/>
        </w:rPr>
      </w:pPr>
      <w:bookmarkStart w:id="23" w:name="_Toc522107739"/>
      <w:bookmarkStart w:id="24" w:name="_Toc522716119"/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系统描述</w:t>
      </w:r>
      <w:bookmarkEnd w:id="23"/>
      <w:bookmarkEnd w:id="24"/>
    </w:p>
    <w:p>
      <w:pPr>
        <w:pStyle w:val="35"/>
        <w:spacing w:before="0" w:line="360" w:lineRule="auto"/>
        <w:ind w:left="357"/>
        <w:jc w:val="left"/>
        <w:rPr>
          <w:iCs/>
          <w:szCs w:val="21"/>
          <w:lang w:eastAsia="zh-CN"/>
        </w:rPr>
      </w:pPr>
      <w:r>
        <w:rPr>
          <w:rFonts w:hint="eastAsia"/>
          <w:iCs/>
          <w:szCs w:val="21"/>
          <w:lang w:eastAsia="zh-CN"/>
        </w:rPr>
        <w:t>为保证吸附类样品在进行相关检测前能够混匀，特购买1台温度控制与混匀仪。温度控制与混匀仪通过对液体进行可控的、圆周混匀运动应对各种混匀任务。</w:t>
      </w: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szCs w:val="21"/>
        </w:rPr>
      </w:pPr>
      <w:bookmarkStart w:id="25" w:name="_Toc522716120"/>
      <w:r>
        <w:rPr>
          <w:rFonts w:ascii="Times New Roman" w:hAnsi="Times New Roman"/>
          <w:b/>
          <w:szCs w:val="21"/>
        </w:rPr>
        <w:t>安装要求</w:t>
      </w:r>
      <w:bookmarkEnd w:id="25"/>
      <w:bookmarkStart w:id="50" w:name="_GoBack"/>
      <w:bookmarkEnd w:id="50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6" w:name="OLE_LINK1"/>
            <w:bookmarkStart w:id="27" w:name="OLE_LINK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台混匀仪均放置于新发传染病研究室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便携式，可放置于工作桌台面操作。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6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供应商应提供所需公用系统的参数要求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适用于我公司工作环境温度：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能适应18</w:t>
            </w:r>
            <w:r>
              <w:rPr>
                <w:color w:val="000000"/>
                <w:szCs w:val="21"/>
                <w:lang w:eastAsia="zh-CN"/>
              </w:rPr>
              <w:t>～</w:t>
            </w:r>
            <w:r>
              <w:rPr>
                <w:rFonts w:hint="eastAsia"/>
                <w:color w:val="000000"/>
                <w:szCs w:val="21"/>
                <w:lang w:eastAsia="zh-CN"/>
              </w:rPr>
              <w:t>26℃环境。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工作环境湿度：至少包括</w:t>
            </w:r>
            <w:r>
              <w:rPr>
                <w:lang w:eastAsia="zh-CN"/>
              </w:rPr>
              <w:t>45%～65%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工作环境洁净级别：</w:t>
            </w:r>
            <w:r>
              <w:rPr>
                <w:rFonts w:hint="eastAsia"/>
                <w:lang w:eastAsia="zh-CN"/>
              </w:rPr>
              <w:t>普通区域。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交流电电源：～220±10%V，50±1Hz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外表面光滑平整耐盐耐腐蚀不能生锈，可经受多次臭氧、甲醛、过氧化氢熏蒸而不腐蚀，且没有明显划痕、凹陷、脱落、裂纹、锈蚀以及其它肉眼可见的外观缺陷，易清洗消毒。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（5）对设备必要的说明；</w:t>
            </w:r>
          </w:p>
          <w:p>
            <w:pPr>
              <w:pStyle w:val="7"/>
              <w:spacing w:line="276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sz w:val="21"/>
                <w:szCs w:val="21"/>
              </w:rPr>
              <w:t>）安全标识。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6"/>
      <w:bookmarkEnd w:id="27"/>
      <w:permEnd w:id="12"/>
    </w:tbl>
    <w:p>
      <w:pPr>
        <w:pStyle w:val="31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1"/>
      <w:bookmarkStart w:id="29" w:name="_Toc522107740"/>
      <w:r>
        <w:rPr>
          <w:rFonts w:ascii="Times New Roman" w:hAnsi="Times New Roman"/>
          <w:b/>
        </w:rPr>
        <w:t>运行要求</w:t>
      </w:r>
      <w:bookmarkEnd w:id="28"/>
      <w:bookmarkEnd w:id="29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  <w:lang w:eastAsia="zh-CN"/>
              </w:rPr>
            </w:pPr>
            <w:permStart w:id="13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N/A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14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N/A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7128" w:type="dxa"/>
            <w:vAlign w:val="center"/>
          </w:tcPr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1.运行模式：可至少15秒至99小时30分钟计时运行；连续运行</w:t>
            </w:r>
          </w:p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2.</w:t>
            </w:r>
            <w:r>
              <w:t>混匀频率</w:t>
            </w:r>
            <w:r>
              <w:rPr>
                <w:rFonts w:hint="eastAsia"/>
              </w:rPr>
              <w:t>：至少</w:t>
            </w:r>
            <w:r>
              <w:t xml:space="preserve">300 ~ </w:t>
            </w: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 rpm</w:t>
            </w:r>
            <w:r>
              <w:rPr>
                <w:rFonts w:hint="eastAsia"/>
              </w:rPr>
              <w:t>（由</w:t>
            </w:r>
            <w:r>
              <w:t>模块决定）</w:t>
            </w:r>
          </w:p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3.温控范围：最低温度至室温以下15℃，最高温可达100℃</w:t>
            </w:r>
          </w:p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4.温度精确度：</w:t>
            </w:r>
            <w:r>
              <w:t>20°C ~ 45°C之间，</w:t>
            </w:r>
            <w:r>
              <w:rPr>
                <w:rFonts w:hint="eastAsia"/>
              </w:rPr>
              <w:t>精度不低于</w:t>
            </w:r>
            <w:r>
              <w:t>±0.5 °C</w:t>
            </w:r>
          </w:p>
          <w:p>
            <w:pPr>
              <w:pStyle w:val="31"/>
              <w:ind w:firstLine="0" w:firstLineChars="0"/>
              <w:rPr>
                <w:i/>
                <w:szCs w:val="21"/>
              </w:rPr>
            </w:pPr>
            <w:r>
              <w:rPr>
                <w:rFonts w:hint="eastAsia"/>
              </w:rPr>
              <w:t>5.升温速率：不小于</w:t>
            </w:r>
            <w:r>
              <w:t>7</w:t>
            </w:r>
            <w:r>
              <w:rPr>
                <w:rFonts w:hint="eastAsia"/>
              </w:rPr>
              <w:t>℃/分钟；降温速率：不小于2.5℃/分钟（当使用</w:t>
            </w:r>
            <w:r>
              <w:t>工作板模块时）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混匀仪可实现常见离心管和工作板（5</w:t>
            </w:r>
            <w:r>
              <w:rPr>
                <w:highlight w:val="yellow"/>
                <w:lang w:eastAsia="zh-CN"/>
              </w:rPr>
              <w:t xml:space="preserve"> </w:t>
            </w:r>
            <w:r>
              <w:rPr>
                <w:rFonts w:ascii="Cambria" w:hAnsi="Cambria"/>
                <w:highlight w:val="yellow"/>
                <w:lang w:val="el-GR"/>
              </w:rPr>
              <w:t>μ</w:t>
            </w:r>
            <w:r>
              <w:rPr>
                <w:highlight w:val="yellow"/>
                <w:lang w:eastAsia="zh-CN"/>
              </w:rPr>
              <w:t>L</w:t>
            </w:r>
            <w:r>
              <w:rPr>
                <w:rFonts w:hint="eastAsia"/>
                <w:highlight w:val="yellow"/>
                <w:lang w:eastAsia="zh-CN"/>
              </w:rPr>
              <w:t>至50mL）的加热、冷却和混匀。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一台混匀仪配置2个模块，一个模块可用于1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ml离心管中样品的混匀；另一个模块可用于50ml离心管中样品的混匀。具有加热和降温功能。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ml离心管混匀模块可至少放置不少于8个1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ml离心管，</w:t>
            </w:r>
            <w:r>
              <w:rPr>
                <w:sz w:val="21"/>
                <w:szCs w:val="22"/>
                <w:lang w:eastAsia="zh-CN"/>
              </w:rPr>
              <w:t>50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ml离心管混匀模块可至少放置不少于</w:t>
            </w:r>
            <w:r>
              <w:rPr>
                <w:sz w:val="21"/>
                <w:szCs w:val="22"/>
                <w:lang w:eastAsia="zh-CN"/>
              </w:rPr>
              <w:t>4</w:t>
            </w:r>
            <w:r>
              <w:rPr>
                <w:rFonts w:hint="eastAsia"/>
                <w:sz w:val="21"/>
                <w:szCs w:val="22"/>
                <w:lang w:eastAsia="zh-CN"/>
              </w:rPr>
              <w:t>个</w:t>
            </w:r>
            <w:r>
              <w:rPr>
                <w:sz w:val="21"/>
                <w:szCs w:val="22"/>
                <w:lang w:eastAsia="zh-CN"/>
              </w:rPr>
              <w:t>50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highlight w:val="yellow"/>
              </w:rPr>
              <w:t>防溅射技术，有效防止管盖润湿和交叉污染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加热模块边缘应有热绝缘设计，</w:t>
            </w:r>
            <w:r>
              <w:rPr>
                <w:rFonts w:hint="eastAsia"/>
                <w:lang w:eastAsia="zh-CN"/>
              </w:rPr>
              <w:t>避免烫伤手指。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highlight w:val="yellow"/>
              </w:rPr>
              <w:t>独立传感器控制的加热模块，具有最佳温控精确性和均一性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加热模块更换，无需任何工具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lang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具有防</w:t>
            </w:r>
            <w:r>
              <w:rPr>
                <w:highlight w:val="yellow"/>
                <w:lang w:eastAsia="zh-CN"/>
              </w:rPr>
              <w:t>冷凝</w:t>
            </w:r>
            <w:r>
              <w:rPr>
                <w:rFonts w:hint="eastAsia"/>
                <w:highlight w:val="yellow"/>
                <w:lang w:eastAsia="zh-CN"/>
              </w:rPr>
              <w:t>保护技术</w:t>
            </w:r>
            <w:r>
              <w:rPr>
                <w:highlight w:val="yellow"/>
                <w:lang w:eastAsia="zh-CN"/>
              </w:rPr>
              <w:t>，</w:t>
            </w:r>
            <w:r>
              <w:rPr>
                <w:rFonts w:hint="eastAsia"/>
                <w:highlight w:val="yellow"/>
                <w:lang w:eastAsia="zh-CN"/>
              </w:rPr>
              <w:t>有效</w:t>
            </w:r>
            <w:r>
              <w:rPr>
                <w:highlight w:val="yellow"/>
                <w:lang w:eastAsia="zh-CN"/>
              </w:rPr>
              <w:t>防止管盖和管壁上产生冷凝水，</w:t>
            </w:r>
            <w:r>
              <w:rPr>
                <w:rFonts w:hint="eastAsia"/>
                <w:highlight w:val="yellow"/>
                <w:lang w:eastAsia="zh-CN"/>
              </w:rPr>
              <w:t>提高温度均</w:t>
            </w:r>
            <w:r>
              <w:rPr>
                <w:highlight w:val="yellow"/>
                <w:lang w:eastAsia="zh-CN"/>
              </w:rPr>
              <w:t>一</w:t>
            </w:r>
            <w:r>
              <w:rPr>
                <w:rFonts w:hint="eastAsia"/>
                <w:highlight w:val="yellow"/>
                <w:lang w:eastAsia="zh-CN"/>
              </w:rPr>
              <w:t>性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tabs>
                <w:tab w:val="left" w:pos="312"/>
              </w:tabs>
              <w:rPr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可自动模块识别，确保样品处理安全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6"/>
    </w:tbl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0" w:name="_Toc522716122"/>
      <w:bookmarkStart w:id="31" w:name="_Toc522107742"/>
      <w:bookmarkStart w:id="32" w:name="_Toc482359946"/>
      <w:bookmarkStart w:id="33" w:name="_Toc482360291"/>
      <w:bookmarkStart w:id="34" w:name="_Toc482370767"/>
      <w:bookmarkStart w:id="35" w:name="_Toc481702480"/>
      <w:bookmarkStart w:id="36" w:name="_Toc482370071"/>
      <w:bookmarkStart w:id="37" w:name="_Toc482625289"/>
      <w:bookmarkStart w:id="38" w:name="_Toc482369815"/>
      <w:bookmarkStart w:id="39" w:name="_Toc483400317"/>
      <w:bookmarkStart w:id="40" w:name="_Toc483227237"/>
      <w:bookmarkStart w:id="41" w:name="_Toc482370359"/>
      <w:bookmarkStart w:id="42" w:name="_Toc482370151"/>
      <w:bookmarkStart w:id="43" w:name="_Toc482717202"/>
      <w:r>
        <w:rPr>
          <w:rFonts w:ascii="Times New Roman" w:hAnsi="Times New Roman"/>
          <w:b/>
        </w:rPr>
        <w:t>电气、自动控制要求</w:t>
      </w:r>
      <w:bookmarkEnd w:id="30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="0" w:firstLineChars="0"/>
            </w:pPr>
            <w:r>
              <w:rPr>
                <w:rFonts w:hint="eastAsia"/>
              </w:rPr>
              <w:t>预设程序按键和</w:t>
            </w:r>
            <w:r>
              <w:t>多样化</w:t>
            </w:r>
            <w:r>
              <w:rPr>
                <w:rFonts w:hint="eastAsia"/>
              </w:rPr>
              <w:t>程序编辑</w:t>
            </w:r>
            <w:r>
              <w:t>功能</w:t>
            </w:r>
            <w:r>
              <w:rPr>
                <w:rFonts w:hint="eastAsia"/>
              </w:rPr>
              <w:t>，</w:t>
            </w:r>
            <w:r>
              <w:t>可保存</w:t>
            </w:r>
            <w:r>
              <w:rPr>
                <w:rFonts w:hint="eastAsia"/>
              </w:rPr>
              <w:t>不少于20个用户自定义</w:t>
            </w:r>
            <w:r>
              <w:t>程序</w:t>
            </w:r>
            <w:r>
              <w:rPr>
                <w:rFonts w:hint="eastAsia"/>
              </w:rPr>
              <w:t>，操作更简便</w:t>
            </w:r>
          </w:p>
          <w:p>
            <w:pPr>
              <w:pStyle w:val="31"/>
              <w:numPr>
                <w:ilvl w:val="0"/>
                <w:numId w:val="10"/>
              </w:numPr>
              <w:ind w:firstLine="0" w:firstLineChars="0"/>
              <w:rPr>
                <w:i/>
                <w:szCs w:val="21"/>
              </w:rPr>
            </w:pPr>
            <w:r>
              <w:rPr>
                <w:rFonts w:hint="eastAsia"/>
              </w:rPr>
              <w:t>低噪音水平，工作环境更安静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18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color w:val="FF0000"/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18"/>
    </w:tbl>
    <w:p>
      <w:pPr>
        <w:spacing w:after="158" w:afterLines="50"/>
        <w:rPr>
          <w:b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3"/>
      <w:r>
        <w:rPr>
          <w:rFonts w:ascii="Times New Roman" w:hAnsi="Times New Roman"/>
          <w:b/>
        </w:rPr>
        <w:t>安全要求</w:t>
      </w:r>
      <w:bookmarkEnd w:id="31"/>
      <w:bookmarkEnd w:id="44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19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0" w:edGrp="everyone"/>
          </w:p>
        </w:tc>
        <w:tc>
          <w:tcPr>
            <w:tcW w:w="7128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电控系统所用部件和材料必须符合专业质量标准要求，且装配联接符合设计要求和相关专业质量标准要求，具有良好的绝缘和接地保护。安全保护接地需符合国家标准。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保护等级：NEMA4X/IP</w:t>
            </w:r>
            <w:r>
              <w:rPr>
                <w:szCs w:val="21"/>
                <w:lang w:eastAsia="zh-CN"/>
              </w:rPr>
              <w:t>31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7128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其他保护：</w:t>
            </w:r>
          </w:p>
          <w:p>
            <w:pPr>
              <w:numPr>
                <w:ilvl w:val="0"/>
                <w:numId w:val="12"/>
              </w:num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设备热表面或发热部件上的明显部位必须设有警告标识。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设备操作位置及设备维修区域必须设易于人员接近的急停按钮，并有明显的标示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1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107743"/>
      <w:bookmarkStart w:id="46" w:name="_Toc522716124"/>
      <w:r>
        <w:rPr>
          <w:rFonts w:ascii="Times New Roman" w:hAnsi="Times New Roman"/>
          <w:b/>
        </w:rPr>
        <w:t>文件要求</w:t>
      </w:r>
      <w:bookmarkEnd w:id="45"/>
      <w:bookmarkEnd w:id="46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开箱验收时提供所有资料的电子版和纸质版，并将电子版全套资料交我公司工程技术部存档。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投标文件、合同及订单。设备开箱验收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卖方发运清单及相关检验报告。设备开箱验收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图纸：实物图；各种验证、维修等活动所需的电子版及打印版设备布局图、设备尺寸图、设备局部图（与功能相关细节图）、P&amp;ID图、控制原理图、计算机系统相关图纸（若涉及）、图纸清单。不晚于IQ开始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配件清单、易损件清单、备件、消耗品清单</w:t>
            </w:r>
            <w:r>
              <w:rPr>
                <w:rFonts w:hint="eastAsia" w:ascii="宋体" w:hAnsi="宋体"/>
                <w:lang w:eastAsia="zh-CN"/>
              </w:rPr>
              <w:t>：包括名称、编号、对应厂家名称、生产地、规格及必要说明。不晚于IQ开始前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设备厂家文件：出厂测试合格证、各组件说明书与合格证、相关检测报告、各种标示。不晚于IQ开始前。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设备操作手册（</w:t>
            </w:r>
            <w:r>
              <w:rPr>
                <w:rFonts w:ascii="宋体" w:hAnsi="宋体" w:cs="宋体"/>
                <w:lang w:eastAsia="zh-CN"/>
              </w:rPr>
              <w:t>SOP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语言为中文，</w:t>
            </w:r>
            <w:r>
              <w:rPr>
                <w:rFonts w:hint="eastAsia" w:ascii="宋体" w:hAnsi="宋体"/>
                <w:lang w:eastAsia="zh-CN"/>
              </w:rPr>
              <w:t>应说明校准周期，并能提供校准服务。设备开箱验收。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第三方或有计量资质的校验报告或计量证书。不晚于IQ开始前。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安全报告。不晚于IQ开始前提交。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使用操作说明书及维护保养说明（即运行及维护手册）</w:t>
            </w:r>
            <w:r>
              <w:rPr>
                <w:rFonts w:ascii="宋体" w:hAnsi="宋体"/>
                <w:lang w:eastAsia="zh-CN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份。设备开箱验收提交。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提供设备及其零部件使用寿命清单。设备开箱验收提交。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文件具体要求：</w:t>
            </w:r>
          </w:p>
          <w:p>
            <w:pPr>
              <w:jc w:val="both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（1）系统相关方案中，应明确本系统的配置、规格，并且分析阐述每一个系统环节的必要性；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（2）标书中明确系统所有组件的品牌、材质、型号，并且注明每一个组件的保修期；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3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7" w:name="_Toc522716125"/>
      <w:r>
        <w:rPr>
          <w:rFonts w:ascii="Times New Roman" w:hAnsi="Times New Roman"/>
          <w:b/>
          <w:szCs w:val="21"/>
        </w:rPr>
        <w:t>服务要求</w:t>
      </w:r>
      <w:bookmarkEnd w:id="47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生产操作人员培训包括设备结构原理、性能、操作、清洗消毒、故障排除等基本</w:t>
            </w:r>
            <w:r>
              <w:rPr>
                <w:szCs w:val="21"/>
                <w:lang w:eastAsia="zh-CN"/>
              </w:rPr>
              <w:t>知识</w:t>
            </w:r>
            <w:r>
              <w:rPr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提供IQ、OQ及协助完成P</w:t>
            </w:r>
            <w:r>
              <w:rPr>
                <w:iCs/>
                <w:szCs w:val="21"/>
                <w:lang w:eastAsia="zh-CN"/>
              </w:rPr>
              <w:t>Q</w:t>
            </w:r>
            <w:r>
              <w:rPr>
                <w:rFonts w:hint="eastAsia"/>
                <w:iCs/>
                <w:szCs w:val="21"/>
                <w:lang w:eastAsia="zh-CN"/>
              </w:rPr>
              <w:t>测试。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期望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设备保质期从确认验收的阶段就开始计算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设备质保期为两年，两年内免费保修，两年后应提供良好的售后服务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售后服务必须响应及时，要求设备出现须厂家维修的故障后，应在4小时内明确答复，当电话沟通无法解决时，须24小时内派人至现场解决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两年免费保修期到期后，厂家应终生提供及时的维修、维护，厂家应定期回访，解决设备运行当中可能出现的疑问，排除潜在故障，使设备保持良好工作状态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厂家应提供合格的备件，用于设备相应部件的维修、更换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货物到达买方使用现场后，由买卖双方共同验收，卖方工程师免费为买方提供调试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供应商进厂安装需遵守安全和施工规定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确认试车验收合格后，买卖双方签订验收报告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2"/>
    </w:tbl>
    <w:p>
      <w:pPr>
        <w:rPr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8" w:name="_Toc522107746"/>
      <w:bookmarkStart w:id="49" w:name="_Toc522716126"/>
      <w:r>
        <w:rPr>
          <w:rFonts w:ascii="Times New Roman" w:hAnsi="Times New Roman"/>
          <w:b/>
        </w:rPr>
        <w:t>附件</w:t>
      </w:r>
      <w:bookmarkEnd w:id="48"/>
      <w:bookmarkEnd w:id="49"/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装箱清单</w:t>
      </w:r>
    </w:p>
    <w:tbl>
      <w:tblPr>
        <w:tblStyle w:val="19"/>
        <w:tblW w:w="7897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2945"/>
        <w:gridCol w:w="668"/>
        <w:gridCol w:w="74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30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5917" w:type="dxa"/>
            <w:gridSpan w:val="4"/>
            <w:shd w:val="clear" w:color="auto" w:fill="FFFFFF"/>
            <w:vAlign w:val="center"/>
          </w:tcPr>
          <w:p>
            <w:pPr>
              <w:pStyle w:val="49"/>
              <w:ind w:firstLine="48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恒温混匀仪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30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物料名称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数量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48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箱号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46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en-US"/>
              </w:rPr>
              <w:t>恒温混匀仪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420" w:firstLineChars="20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pStyle w:val="49"/>
              <w:ind w:firstLine="210" w:firstLineChars="10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56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420" w:firstLineChars="20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en-US"/>
              </w:rPr>
              <w:t>2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en-US"/>
              </w:rPr>
              <w:t>恒温混匀仪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电源线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20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根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56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460"/>
              <w:jc w:val="center"/>
              <w:rPr>
                <w:rFonts w:ascii="宋体" w:hAnsi="宋体" w:eastAsia="PMingLiU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PMingLiU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产品说明书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20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pStyle w:val="49"/>
              <w:ind w:firstLine="26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56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367" w:firstLineChars="175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合格证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20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pStyle w:val="49"/>
              <w:ind w:firstLine="26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56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9"/>
              <w:ind w:firstLine="460"/>
              <w:jc w:val="center"/>
              <w:rPr>
                <w:rFonts w:ascii="宋体" w:hAnsi="宋体" w:eastAsia="PMingLiU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PMingLiU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保修卡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20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pStyle w:val="49"/>
              <w:ind w:firstLine="26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56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6</w:t>
            </w:r>
          </w:p>
        </w:tc>
        <w:tc>
          <w:tcPr>
            <w:tcW w:w="2945" w:type="dxa"/>
            <w:shd w:val="clear" w:color="auto" w:fill="FFFFFF"/>
            <w:vAlign w:val="center"/>
          </w:tcPr>
          <w:p>
            <w:pPr>
              <w:pStyle w:val="49"/>
              <w:ind w:firstLine="0"/>
              <w:jc w:val="center"/>
              <w:rPr>
                <w:rFonts w:ascii="宋体" w:hAnsi="宋体" w:eastAsia="PMingLiU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加热模块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49"/>
              <w:ind w:firstLine="20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6" w:type="dxa"/>
            <w:shd w:val="clear" w:color="auto" w:fill="FFFFFF"/>
            <w:vAlign w:val="center"/>
          </w:tcPr>
          <w:p>
            <w:pPr>
              <w:pStyle w:val="49"/>
              <w:ind w:firstLine="260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pStyle w:val="49"/>
              <w:ind w:firstLine="56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1/1</w:t>
            </w:r>
          </w:p>
        </w:tc>
      </w:tr>
    </w:tbl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</w:p>
    <w:sectPr>
      <w:headerReference r:id="rId3" w:type="default"/>
      <w:footerReference r:id="rId4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3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2689A"/>
    <w:multiLevelType w:val="multilevel"/>
    <w:tmpl w:val="0892689A"/>
    <w:lvl w:ilvl="0" w:tentative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 w:tentative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 w:tentative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7299292"/>
    <w:multiLevelType w:val="singleLevel"/>
    <w:tmpl w:val="172992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E85127E"/>
    <w:multiLevelType w:val="multilevel"/>
    <w:tmpl w:val="1E85127E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20B1F6D"/>
    <w:multiLevelType w:val="multilevel"/>
    <w:tmpl w:val="320B1F6D"/>
    <w:lvl w:ilvl="0" w:tentative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2D715E"/>
    <w:multiLevelType w:val="singleLevel"/>
    <w:tmpl w:val="4A2D715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549A640C"/>
    <w:multiLevelType w:val="multilevel"/>
    <w:tmpl w:val="549A640C"/>
    <w:lvl w:ilvl="0" w:tentative="0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9402F4"/>
    <w:multiLevelType w:val="multilevel"/>
    <w:tmpl w:val="629402F4"/>
    <w:lvl w:ilvl="0" w:tentative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6546ED"/>
    <w:multiLevelType w:val="multilevel"/>
    <w:tmpl w:val="686546ED"/>
    <w:lvl w:ilvl="0" w:tentative="0">
      <w:start w:val="1"/>
      <w:numFmt w:val="decimal"/>
      <w:pStyle w:val="33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03BD"/>
    <w:rsid w:val="00092C03"/>
    <w:rsid w:val="00096510"/>
    <w:rsid w:val="00096F44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07807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3E1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8C8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798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162"/>
    <w:rsid w:val="00237E6C"/>
    <w:rsid w:val="00240A09"/>
    <w:rsid w:val="00240B1E"/>
    <w:rsid w:val="00241437"/>
    <w:rsid w:val="00245088"/>
    <w:rsid w:val="00251661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6F1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6E33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1E3"/>
    <w:rsid w:val="003B354C"/>
    <w:rsid w:val="003B355B"/>
    <w:rsid w:val="003B4A5D"/>
    <w:rsid w:val="003B5047"/>
    <w:rsid w:val="003B52ED"/>
    <w:rsid w:val="003B6E29"/>
    <w:rsid w:val="003B73AB"/>
    <w:rsid w:val="003C02C6"/>
    <w:rsid w:val="003C03D7"/>
    <w:rsid w:val="003C0712"/>
    <w:rsid w:val="003C558E"/>
    <w:rsid w:val="003C6ECF"/>
    <w:rsid w:val="003C73BC"/>
    <w:rsid w:val="003D09E4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3A1C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3E99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5AA"/>
    <w:rsid w:val="004C099B"/>
    <w:rsid w:val="004C42AE"/>
    <w:rsid w:val="004C49B0"/>
    <w:rsid w:val="004C4F53"/>
    <w:rsid w:val="004C4F7F"/>
    <w:rsid w:val="004C510A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3807"/>
    <w:rsid w:val="00514EA4"/>
    <w:rsid w:val="00516BB4"/>
    <w:rsid w:val="00517A5D"/>
    <w:rsid w:val="00517E1E"/>
    <w:rsid w:val="005217E8"/>
    <w:rsid w:val="005220FE"/>
    <w:rsid w:val="005247DE"/>
    <w:rsid w:val="00526D89"/>
    <w:rsid w:val="00530B8F"/>
    <w:rsid w:val="00531434"/>
    <w:rsid w:val="00531754"/>
    <w:rsid w:val="00534840"/>
    <w:rsid w:val="00534D08"/>
    <w:rsid w:val="00536973"/>
    <w:rsid w:val="00536C6B"/>
    <w:rsid w:val="00537E69"/>
    <w:rsid w:val="00544652"/>
    <w:rsid w:val="0054625B"/>
    <w:rsid w:val="00551539"/>
    <w:rsid w:val="00552EFE"/>
    <w:rsid w:val="00554ABB"/>
    <w:rsid w:val="00554ED1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21FB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5CEC"/>
    <w:rsid w:val="00680BE8"/>
    <w:rsid w:val="006816E9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29B2"/>
    <w:rsid w:val="006B310C"/>
    <w:rsid w:val="006B664C"/>
    <w:rsid w:val="006B7246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D6E55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1295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529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717"/>
    <w:rsid w:val="00811CA7"/>
    <w:rsid w:val="0081218E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1AB8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3CD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B08"/>
    <w:rsid w:val="00912EA3"/>
    <w:rsid w:val="00914B6E"/>
    <w:rsid w:val="009156A2"/>
    <w:rsid w:val="0091579A"/>
    <w:rsid w:val="0091615D"/>
    <w:rsid w:val="00923F7E"/>
    <w:rsid w:val="00924C96"/>
    <w:rsid w:val="00925030"/>
    <w:rsid w:val="009259F9"/>
    <w:rsid w:val="00925B32"/>
    <w:rsid w:val="009278F3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00BF"/>
    <w:rsid w:val="00960935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2648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8BC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37F1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2EB3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AE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1FCA"/>
    <w:rsid w:val="00B82D30"/>
    <w:rsid w:val="00B856DE"/>
    <w:rsid w:val="00B87F62"/>
    <w:rsid w:val="00B914A4"/>
    <w:rsid w:val="00B92497"/>
    <w:rsid w:val="00B92D41"/>
    <w:rsid w:val="00B93679"/>
    <w:rsid w:val="00B9422D"/>
    <w:rsid w:val="00B95A1D"/>
    <w:rsid w:val="00B95D43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64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3843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2799D"/>
    <w:rsid w:val="00C34201"/>
    <w:rsid w:val="00C35A38"/>
    <w:rsid w:val="00C35EC9"/>
    <w:rsid w:val="00C36807"/>
    <w:rsid w:val="00C37392"/>
    <w:rsid w:val="00C41545"/>
    <w:rsid w:val="00C4209D"/>
    <w:rsid w:val="00C432B3"/>
    <w:rsid w:val="00C44954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23F3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0F8D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299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4EB1"/>
    <w:rsid w:val="00E35E86"/>
    <w:rsid w:val="00E36B45"/>
    <w:rsid w:val="00E37BF1"/>
    <w:rsid w:val="00E428B3"/>
    <w:rsid w:val="00E43CA4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398"/>
    <w:rsid w:val="00EE5643"/>
    <w:rsid w:val="00EE7CEC"/>
    <w:rsid w:val="00EF056E"/>
    <w:rsid w:val="00EF09B3"/>
    <w:rsid w:val="00EF0A3E"/>
    <w:rsid w:val="00EF219A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351"/>
    <w:rsid w:val="00F176A0"/>
    <w:rsid w:val="00F20174"/>
    <w:rsid w:val="00F22098"/>
    <w:rsid w:val="00F223BC"/>
    <w:rsid w:val="00F23780"/>
    <w:rsid w:val="00F26185"/>
    <w:rsid w:val="00F30549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D64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6D97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60D7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A466E33"/>
    <w:rsid w:val="11B3197A"/>
    <w:rsid w:val="14276FAA"/>
    <w:rsid w:val="28FD3F94"/>
    <w:rsid w:val="32EF2708"/>
    <w:rsid w:val="368275F5"/>
    <w:rsid w:val="377140D6"/>
    <w:rsid w:val="37D040ED"/>
    <w:rsid w:val="51913844"/>
    <w:rsid w:val="55CD6F37"/>
    <w:rsid w:val="626C1768"/>
    <w:rsid w:val="688457FC"/>
    <w:rsid w:val="72D93DE5"/>
    <w:rsid w:val="76AC1CC6"/>
    <w:rsid w:val="7C4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8"/>
    <w:semiHidden/>
    <w:qFormat/>
    <w:uiPriority w:val="0"/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0"/>
    <w:pPr>
      <w:ind w:right="56"/>
    </w:pPr>
    <w:rPr>
      <w:b/>
      <w:sz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9"/>
    <w:qFormat/>
    <w:uiPriority w:val="99"/>
    <w:pPr>
      <w:tabs>
        <w:tab w:val="center" w:pos="4320"/>
        <w:tab w:val="right" w:pos="8640"/>
      </w:tabs>
    </w:pPr>
  </w:style>
  <w:style w:type="paragraph" w:styleId="14">
    <w:name w:val="header"/>
    <w:basedOn w:val="1"/>
    <w:link w:val="37"/>
    <w:qFormat/>
    <w:uiPriority w:val="0"/>
    <w:pPr>
      <w:tabs>
        <w:tab w:val="center" w:pos="4320"/>
        <w:tab w:val="right" w:pos="8640"/>
      </w:tabs>
    </w:pPr>
  </w:style>
  <w:style w:type="paragraph" w:styleId="15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eastAsia="zh-CN"/>
    </w:rPr>
  </w:style>
  <w:style w:type="paragraph" w:styleId="16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eastAsia="zh-CN"/>
    </w:rPr>
  </w:style>
  <w:style w:type="paragraph" w:styleId="17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21"/>
      <w:szCs w:val="21"/>
    </w:rPr>
  </w:style>
  <w:style w:type="paragraph" w:customStyle="1" w:styleId="26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</w:rPr>
  </w:style>
  <w:style w:type="paragraph" w:customStyle="1" w:styleId="27">
    <w:name w:val="Default Text"/>
    <w:basedOn w:val="1"/>
    <w:qFormat/>
    <w:uiPriority w:val="0"/>
    <w:pPr>
      <w:textAlignment w:val="auto"/>
    </w:pPr>
    <w:rPr>
      <w:rFonts w:ascii="Arial" w:hAnsi="Arial"/>
      <w:szCs w:val="24"/>
    </w:rPr>
  </w:style>
  <w:style w:type="paragraph" w:customStyle="1" w:styleId="28">
    <w:name w:val="Style"/>
    <w:basedOn w:val="1"/>
    <w:qFormat/>
    <w:uiPriority w:val="0"/>
    <w:pPr>
      <w:textAlignment w:val="auto"/>
    </w:pPr>
    <w:rPr>
      <w:rFonts w:ascii="Arial" w:hAnsi="Arial"/>
      <w:szCs w:val="24"/>
    </w:rPr>
  </w:style>
  <w:style w:type="paragraph" w:customStyle="1" w:styleId="29">
    <w:name w:val="正文1"/>
    <w:basedOn w:val="1"/>
    <w:qFormat/>
    <w:uiPriority w:val="0"/>
    <w:pPr>
      <w:textAlignment w:val="auto"/>
    </w:pPr>
    <w:rPr>
      <w:rFonts w:ascii="Arial" w:hAnsi="Arial"/>
      <w:sz w:val="20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sz w:val="24"/>
      <w:lang w:val="en-US" w:eastAsia="en-US" w:bidi="ar-SA"/>
    </w:rPr>
  </w:style>
  <w:style w:type="paragraph" w:customStyle="1" w:styleId="31">
    <w:name w:val="列表段落1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eastAsia="zh-CN"/>
    </w:rPr>
  </w:style>
  <w:style w:type="paragraph" w:customStyle="1" w:styleId="32">
    <w:name w:val="TOC 标题1"/>
    <w:basedOn w:val="2"/>
    <w:next w:val="1"/>
    <w:qFormat/>
    <w:uiPriority w:val="39"/>
    <w:pPr>
      <w:numPr>
        <w:numId w:val="0"/>
      </w:numPr>
      <w:outlineLvl w:val="9"/>
    </w:pPr>
  </w:style>
  <w:style w:type="paragraph" w:customStyle="1" w:styleId="33">
    <w:name w:val="numbering blue"/>
    <w:basedOn w:val="1"/>
    <w:link w:val="42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5">
    <w:name w:val="Text"/>
    <w:basedOn w:val="1"/>
    <w:link w:val="43"/>
    <w:qFormat/>
    <w:uiPriority w:val="0"/>
    <w:pPr>
      <w:adjustRightInd/>
      <w:spacing w:before="120"/>
      <w:jc w:val="both"/>
      <w:textAlignment w:val="auto"/>
    </w:pPr>
  </w:style>
  <w:style w:type="paragraph" w:customStyle="1" w:styleId="36">
    <w:name w:val="Table text"/>
    <w:basedOn w:val="1"/>
    <w:qFormat/>
    <w:uiPriority w:val="0"/>
    <w:pPr>
      <w:adjustRightInd/>
      <w:spacing w:before="120" w:after="120"/>
      <w:jc w:val="both"/>
      <w:textAlignment w:val="auto"/>
    </w:pPr>
  </w:style>
  <w:style w:type="character" w:customStyle="1" w:styleId="37">
    <w:name w:val="页眉 Char"/>
    <w:link w:val="14"/>
    <w:qFormat/>
    <w:uiPriority w:val="0"/>
    <w:rPr>
      <w:rFonts w:eastAsia="宋体"/>
      <w:sz w:val="24"/>
      <w:lang w:eastAsia="en-US" w:bidi="ar-SA"/>
    </w:rPr>
  </w:style>
  <w:style w:type="character" w:customStyle="1" w:styleId="38">
    <w:name w:val="批注文字 Char"/>
    <w:link w:val="6"/>
    <w:semiHidden/>
    <w:qFormat/>
    <w:uiPriority w:val="0"/>
    <w:rPr>
      <w:sz w:val="24"/>
      <w:lang w:eastAsia="en-US"/>
    </w:rPr>
  </w:style>
  <w:style w:type="character" w:customStyle="1" w:styleId="39">
    <w:name w:val="页脚 Char"/>
    <w:link w:val="13"/>
    <w:qFormat/>
    <w:uiPriority w:val="99"/>
    <w:rPr>
      <w:sz w:val="24"/>
      <w:lang w:eastAsia="en-US"/>
    </w:rPr>
  </w:style>
  <w:style w:type="character" w:customStyle="1" w:styleId="40">
    <w:name w:val="instruction standard blue"/>
    <w:qFormat/>
    <w:uiPriority w:val="1"/>
    <w:rPr>
      <w:rFonts w:cs="Arial"/>
      <w:i/>
      <w:color w:val="0070C0"/>
    </w:rPr>
  </w:style>
  <w:style w:type="character" w:customStyle="1" w:styleId="41">
    <w:name w:val="keyword"/>
    <w:basedOn w:val="21"/>
    <w:qFormat/>
    <w:uiPriority w:val="0"/>
  </w:style>
  <w:style w:type="character" w:customStyle="1" w:styleId="42">
    <w:name w:val="numbering blue Zchn"/>
    <w:link w:val="33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3">
    <w:name w:val="Text Char"/>
    <w:link w:val="35"/>
    <w:qFormat/>
    <w:locked/>
    <w:uiPriority w:val="0"/>
    <w:rPr>
      <w:sz w:val="24"/>
      <w:lang w:eastAsia="en-US"/>
    </w:rPr>
  </w:style>
  <w:style w:type="character" w:customStyle="1" w:styleId="44">
    <w:name w:val="ordinary-span-edit2"/>
    <w:qFormat/>
    <w:uiPriority w:val="0"/>
  </w:style>
  <w:style w:type="character" w:customStyle="1" w:styleId="45">
    <w:name w:val="apple-converted-space"/>
    <w:basedOn w:val="21"/>
    <w:qFormat/>
    <w:uiPriority w:val="0"/>
  </w:style>
  <w:style w:type="character" w:customStyle="1" w:styleId="46">
    <w:name w:val="标题 Char"/>
    <w:link w:val="17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7">
    <w:name w:val="Footer Char"/>
    <w:semiHidden/>
    <w:qFormat/>
    <w:locked/>
    <w:uiPriority w:val="0"/>
    <w:rPr>
      <w:rFonts w:cs="Times New Roman"/>
      <w:sz w:val="18"/>
      <w:szCs w:val="18"/>
    </w:rPr>
  </w:style>
  <w:style w:type="paragraph" w:customStyle="1" w:styleId="48">
    <w:name w:val="TOC 标题2"/>
    <w:basedOn w:val="2"/>
    <w:next w:val="1"/>
    <w:qFormat/>
    <w:uiPriority w:val="39"/>
    <w:pPr>
      <w:numPr>
        <w:numId w:val="0"/>
      </w:numPr>
      <w:outlineLvl w:val="9"/>
    </w:pPr>
  </w:style>
  <w:style w:type="paragraph" w:customStyle="1" w:styleId="49">
    <w:name w:val="Other|1"/>
    <w:basedOn w:val="1"/>
    <w:qFormat/>
    <w:uiPriority w:val="0"/>
    <w:pPr>
      <w:widowControl w:val="0"/>
      <w:ind w:firstLine="180"/>
    </w:pPr>
    <w:rPr>
      <w:rFonts w:ascii="Arial" w:hAnsi="Arial" w:eastAsia="Arial" w:cs="Arial"/>
      <w:b/>
      <w:bCs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4119</Characters>
  <Lines>34</Lines>
  <Paragraphs>9</Paragraphs>
  <TotalTime>61</TotalTime>
  <ScaleCrop>false</ScaleCrop>
  <LinksUpToDate>false</LinksUpToDate>
  <CharactersWithSpaces>4832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2022-01-12T00:33:00Z</dcterms:created>
  <dc:creator>Lilly</dc:creator>
  <cp:lastModifiedBy>汪洋</cp:lastModifiedBy>
  <cp:lastPrinted>2017-06-22T01:53:00Z</cp:lastPrinted>
  <dcterms:modified xsi:type="dcterms:W3CDTF">2022-08-08T06:46:29Z</dcterms:modified>
  <dc:title>生效期：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37D391B52F99429990FDFAF4A4216AA3</vt:lpwstr>
  </property>
</Properties>
</file>