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483666358"/>
      <w:bookmarkStart w:id="1" w:name="_Toc483227223"/>
      <w:bookmarkStart w:id="2" w:name="_Toc482717189"/>
      <w:bookmarkStart w:id="3" w:name="_Toc484532399"/>
      <w:bookmarkStart w:id="4" w:name="_Toc483400307"/>
    </w:p>
    <w:p>
      <w:pPr>
        <w:spacing w:after="158" w:afterLines="50"/>
        <w:jc w:val="center"/>
        <w:rPr>
          <w:b/>
          <w:szCs w:val="21"/>
          <w:lang w:eastAsia="zh-CN"/>
        </w:rPr>
      </w:pPr>
      <w:permStart w:id="0" w:edGrp="everyone"/>
      <w:r>
        <w:rPr>
          <w:rFonts w:hint="eastAsia"/>
          <w:b/>
          <w:sz w:val="28"/>
          <w:szCs w:val="28"/>
          <w:lang w:eastAsia="zh-CN"/>
        </w:rPr>
        <w:t>肠道病毒疫苗室磁力带称重混匀推车</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3"/>
        <w:keepNext w:val="0"/>
        <w:keepLines w:val="0"/>
        <w:widowControl w:val="0"/>
        <w:spacing w:after="158" w:afterLines="50" w:line="240" w:lineRule="auto"/>
        <w:jc w:val="center"/>
        <w:rPr>
          <w:sz w:val="21"/>
          <w:szCs w:val="21"/>
          <w:lang w:val="zh-CN" w:eastAsia="zh-CN"/>
        </w:rPr>
      </w:pPr>
      <w:permStart w:id="1" w:edGrp="everyone"/>
      <w:permEnd w:id="1"/>
      <w:r>
        <w:rPr>
          <w:sz w:val="21"/>
          <w:szCs w:val="21"/>
          <w:lang w:val="zh-CN" w:eastAsia="zh-CN"/>
        </w:rPr>
        <w:t xml:space="preserve">目录 </w:t>
      </w:r>
    </w:p>
    <w:p>
      <w:pPr>
        <w:pStyle w:val="15"/>
        <w:rPr>
          <w:b w:val="0"/>
          <w:bCs w:val="0"/>
          <w:caps w:val="0"/>
          <w:szCs w:val="22"/>
        </w:rPr>
      </w:pPr>
      <w:permStart w:id="2" w:edGrp="everyone"/>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3"/>
        </w:rPr>
        <w:t>修订历史</w:t>
      </w:r>
      <w:r>
        <w:tab/>
      </w:r>
      <w:r>
        <w:fldChar w:fldCharType="begin"/>
      </w:r>
      <w:r>
        <w:instrText xml:space="preserve"> PAGEREF _Toc522716114 \h </w:instrText>
      </w:r>
      <w:r>
        <w:fldChar w:fldCharType="separate"/>
      </w:r>
      <w:r>
        <w:t>3</w:t>
      </w:r>
      <w:r>
        <w:fldChar w:fldCharType="end"/>
      </w:r>
      <w:r>
        <w:fldChar w:fldCharType="end"/>
      </w:r>
    </w:p>
    <w:p>
      <w:pPr>
        <w:pStyle w:val="15"/>
        <w:rPr>
          <w:b w:val="0"/>
          <w:bCs w:val="0"/>
          <w:caps w:val="0"/>
          <w:szCs w:val="22"/>
        </w:rPr>
      </w:pPr>
      <w:r>
        <w:fldChar w:fldCharType="begin"/>
      </w:r>
      <w:r>
        <w:instrText xml:space="preserve"> HYPERLINK \l "_Toc522716115" </w:instrText>
      </w:r>
      <w:r>
        <w:fldChar w:fldCharType="separate"/>
      </w:r>
      <w:r>
        <w:rPr>
          <w:rStyle w:val="23"/>
        </w:rPr>
        <w:t>1</w:t>
      </w:r>
      <w:r>
        <w:rPr>
          <w:b w:val="0"/>
          <w:bCs w:val="0"/>
          <w:caps w:val="0"/>
          <w:szCs w:val="22"/>
        </w:rPr>
        <w:tab/>
      </w:r>
      <w:r>
        <w:rPr>
          <w:rStyle w:val="23"/>
        </w:rPr>
        <w:t>目的</w:t>
      </w:r>
      <w:r>
        <w:tab/>
      </w:r>
      <w:r>
        <w:fldChar w:fldCharType="begin"/>
      </w:r>
      <w:r>
        <w:instrText xml:space="preserve"> PAGEREF _Toc522716115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"_Toc522716116" </w:instrText>
      </w:r>
      <w:r>
        <w:fldChar w:fldCharType="separate"/>
      </w:r>
      <w:r>
        <w:rPr>
          <w:rStyle w:val="23"/>
        </w:rPr>
        <w:t>2</w:t>
      </w:r>
      <w:r>
        <w:rPr>
          <w:b w:val="0"/>
          <w:bCs w:val="0"/>
          <w:caps w:val="0"/>
          <w:szCs w:val="22"/>
        </w:rPr>
        <w:tab/>
      </w:r>
      <w:r>
        <w:rPr>
          <w:rStyle w:val="23"/>
        </w:rPr>
        <w:t>范围</w:t>
      </w:r>
      <w:r>
        <w:tab/>
      </w:r>
      <w:r>
        <w:fldChar w:fldCharType="begin"/>
      </w:r>
      <w:r>
        <w:instrText xml:space="preserve"> PAGEREF _Toc522716116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"_Toc522716117" </w:instrText>
      </w:r>
      <w:r>
        <w:fldChar w:fldCharType="separate"/>
      </w:r>
      <w:r>
        <w:rPr>
          <w:rStyle w:val="23"/>
        </w:rPr>
        <w:t>3</w:t>
      </w:r>
      <w:r>
        <w:rPr>
          <w:b w:val="0"/>
          <w:bCs w:val="0"/>
          <w:caps w:val="0"/>
          <w:szCs w:val="22"/>
        </w:rPr>
        <w:tab/>
      </w:r>
      <w:r>
        <w:rPr>
          <w:rStyle w:val="23"/>
        </w:rPr>
        <w:t>参考文件</w:t>
      </w:r>
      <w:r>
        <w:tab/>
      </w:r>
      <w:r>
        <w:fldChar w:fldCharType="begin"/>
      </w:r>
      <w:r>
        <w:instrText xml:space="preserve"> PAGEREF _Toc522716117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"_Toc522716118" </w:instrText>
      </w:r>
      <w:r>
        <w:fldChar w:fldCharType="separate"/>
      </w:r>
      <w:r>
        <w:rPr>
          <w:rStyle w:val="23"/>
        </w:rPr>
        <w:t>4</w:t>
      </w:r>
      <w:r>
        <w:rPr>
          <w:b w:val="0"/>
          <w:bCs w:val="0"/>
          <w:caps w:val="0"/>
          <w:szCs w:val="22"/>
        </w:rPr>
        <w:tab/>
      </w:r>
      <w:r>
        <w:rPr>
          <w:rStyle w:val="23"/>
        </w:rPr>
        <w:t>职责</w:t>
      </w:r>
      <w:r>
        <w:tab/>
      </w:r>
      <w:r>
        <w:fldChar w:fldCharType="begin"/>
      </w:r>
      <w:r>
        <w:instrText xml:space="preserve"> PAGEREF _Toc522716118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"_Toc522716119" </w:instrText>
      </w:r>
      <w:r>
        <w:fldChar w:fldCharType="separate"/>
      </w:r>
      <w:r>
        <w:rPr>
          <w:rStyle w:val="23"/>
        </w:rPr>
        <w:t>5</w:t>
      </w:r>
      <w:r>
        <w:rPr>
          <w:b w:val="0"/>
          <w:bCs w:val="0"/>
          <w:caps w:val="0"/>
          <w:szCs w:val="22"/>
        </w:rPr>
        <w:tab/>
      </w:r>
      <w:r>
        <w:rPr>
          <w:rStyle w:val="23"/>
        </w:rPr>
        <w:t>系统描述</w:t>
      </w:r>
      <w:r>
        <w:tab/>
      </w:r>
      <w:r>
        <w:fldChar w:fldCharType="begin"/>
      </w:r>
      <w:r>
        <w:instrText xml:space="preserve"> PAGEREF _Toc522716119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"_Toc522716120" </w:instrText>
      </w:r>
      <w:r>
        <w:fldChar w:fldCharType="separate"/>
      </w:r>
      <w:r>
        <w:rPr>
          <w:rStyle w:val="23"/>
        </w:rPr>
        <w:t>6</w:t>
      </w:r>
      <w:r>
        <w:rPr>
          <w:b w:val="0"/>
          <w:bCs w:val="0"/>
          <w:caps w:val="0"/>
          <w:szCs w:val="22"/>
        </w:rPr>
        <w:tab/>
      </w:r>
      <w:r>
        <w:rPr>
          <w:rStyle w:val="23"/>
        </w:rPr>
        <w:t>安装要求</w:t>
      </w:r>
      <w:r>
        <w:tab/>
      </w:r>
      <w:r>
        <w:fldChar w:fldCharType="begin"/>
      </w:r>
      <w:r>
        <w:instrText xml:space="preserve"> PAGEREF _Toc522716120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"_Toc522716121" </w:instrText>
      </w:r>
      <w:r>
        <w:fldChar w:fldCharType="separate"/>
      </w:r>
      <w:r>
        <w:rPr>
          <w:rStyle w:val="23"/>
        </w:rPr>
        <w:t>7</w:t>
      </w:r>
      <w:r>
        <w:rPr>
          <w:b w:val="0"/>
          <w:bCs w:val="0"/>
          <w:caps w:val="0"/>
          <w:szCs w:val="22"/>
        </w:rPr>
        <w:tab/>
      </w:r>
      <w:r>
        <w:rPr>
          <w:rStyle w:val="23"/>
        </w:rPr>
        <w:t>运行要求</w:t>
      </w:r>
      <w:r>
        <w:tab/>
      </w:r>
      <w:r>
        <w:fldChar w:fldCharType="begin"/>
      </w:r>
      <w:r>
        <w:instrText xml:space="preserve"> PAGEREF _Toc522716121 \h </w:instrText>
      </w:r>
      <w:r>
        <w:fldChar w:fldCharType="separate"/>
      </w:r>
      <w:r>
        <w:t>7</w:t>
      </w:r>
      <w:r>
        <w:fldChar w:fldCharType="end"/>
      </w:r>
      <w:r>
        <w:fldChar w:fldCharType="end"/>
      </w:r>
    </w:p>
    <w:p>
      <w:pPr>
        <w:pStyle w:val="15"/>
        <w:rPr>
          <w:b w:val="0"/>
          <w:bCs w:val="0"/>
          <w:caps w:val="0"/>
          <w:szCs w:val="22"/>
        </w:rPr>
      </w:pPr>
      <w:r>
        <w:fldChar w:fldCharType="begin"/>
      </w:r>
      <w:r>
        <w:instrText xml:space="preserve"> HYPERLINK \l "_Toc522716122" </w:instrText>
      </w:r>
      <w:r>
        <w:fldChar w:fldCharType="separate"/>
      </w:r>
      <w:r>
        <w:rPr>
          <w:rStyle w:val="23"/>
        </w:rPr>
        <w:t>8</w:t>
      </w:r>
      <w:r>
        <w:rPr>
          <w:b w:val="0"/>
          <w:bCs w:val="0"/>
          <w:caps w:val="0"/>
          <w:szCs w:val="22"/>
        </w:rPr>
        <w:tab/>
      </w:r>
      <w:r>
        <w:rPr>
          <w:rStyle w:val="23"/>
        </w:rPr>
        <w:t>电气、自动控制要求</w:t>
      </w:r>
      <w:r>
        <w:tab/>
      </w:r>
      <w:r>
        <w:fldChar w:fldCharType="begin"/>
      </w:r>
      <w:r>
        <w:instrText xml:space="preserve"> PAGEREF _Toc522716122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"_Toc522716123" </w:instrText>
      </w:r>
      <w:r>
        <w:fldChar w:fldCharType="separate"/>
      </w:r>
      <w:r>
        <w:rPr>
          <w:rStyle w:val="23"/>
        </w:rPr>
        <w:t>9</w:t>
      </w:r>
      <w:r>
        <w:rPr>
          <w:b w:val="0"/>
          <w:bCs w:val="0"/>
          <w:caps w:val="0"/>
          <w:szCs w:val="22"/>
        </w:rPr>
        <w:tab/>
      </w:r>
      <w:r>
        <w:rPr>
          <w:rStyle w:val="23"/>
        </w:rPr>
        <w:t>安全要求</w:t>
      </w:r>
      <w:r>
        <w:tab/>
      </w:r>
      <w:r>
        <w:fldChar w:fldCharType="begin"/>
      </w:r>
      <w:r>
        <w:instrText xml:space="preserve"> PAGEREF _Toc522716123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"_Toc522716124" </w:instrText>
      </w:r>
      <w:r>
        <w:fldChar w:fldCharType="separate"/>
      </w:r>
      <w:r>
        <w:rPr>
          <w:rStyle w:val="23"/>
        </w:rPr>
        <w:t>10</w:t>
      </w:r>
      <w:r>
        <w:rPr>
          <w:b w:val="0"/>
          <w:bCs w:val="0"/>
          <w:caps w:val="0"/>
          <w:szCs w:val="22"/>
        </w:rPr>
        <w:tab/>
      </w:r>
      <w:r>
        <w:rPr>
          <w:rStyle w:val="23"/>
        </w:rPr>
        <w:t>文件要求</w:t>
      </w:r>
      <w:r>
        <w:tab/>
      </w:r>
      <w:r>
        <w:fldChar w:fldCharType="begin"/>
      </w:r>
      <w:r>
        <w:instrText xml:space="preserve"> PAGEREF _Toc522716124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"_Toc522716125" </w:instrText>
      </w:r>
      <w:r>
        <w:fldChar w:fldCharType="separate"/>
      </w:r>
      <w:r>
        <w:rPr>
          <w:rStyle w:val="23"/>
        </w:rPr>
        <w:t>11</w:t>
      </w:r>
      <w:r>
        <w:rPr>
          <w:b w:val="0"/>
          <w:bCs w:val="0"/>
          <w:caps w:val="0"/>
          <w:szCs w:val="22"/>
        </w:rPr>
        <w:tab/>
      </w:r>
      <w:r>
        <w:rPr>
          <w:rStyle w:val="23"/>
        </w:rPr>
        <w:t>服务要求</w:t>
      </w:r>
      <w:r>
        <w:tab/>
      </w:r>
      <w:r>
        <w:fldChar w:fldCharType="begin"/>
      </w:r>
      <w:r>
        <w:instrText xml:space="preserve"> PAGEREF _Toc522716125 \h </w:instrText>
      </w:r>
      <w:r>
        <w:fldChar w:fldCharType="separate"/>
      </w:r>
      <w:r>
        <w:t>10</w:t>
      </w:r>
      <w:r>
        <w:fldChar w:fldCharType="end"/>
      </w:r>
      <w:r>
        <w:fldChar w:fldCharType="end"/>
      </w:r>
    </w:p>
    <w:p>
      <w:pPr>
        <w:pStyle w:val="15"/>
        <w:rPr>
          <w:b w:val="0"/>
          <w:bCs w:val="0"/>
          <w:caps w:val="0"/>
          <w:szCs w:val="22"/>
        </w:rPr>
      </w:pPr>
      <w:r>
        <w:fldChar w:fldCharType="begin"/>
      </w:r>
      <w:r>
        <w:instrText xml:space="preserve"> HYPERLINK \l "_Toc522716126" </w:instrText>
      </w:r>
      <w:r>
        <w:fldChar w:fldCharType="separate"/>
      </w:r>
      <w:r>
        <w:rPr>
          <w:rStyle w:val="23"/>
        </w:rPr>
        <w:t>12</w:t>
      </w:r>
      <w:r>
        <w:rPr>
          <w:b w:val="0"/>
          <w:bCs w:val="0"/>
          <w:caps w:val="0"/>
          <w:szCs w:val="22"/>
        </w:rPr>
        <w:tab/>
      </w:r>
      <w:r>
        <w:rPr>
          <w:rStyle w:val="23"/>
        </w:rPr>
        <w:t>附件</w:t>
      </w:r>
      <w:r>
        <w:tab/>
      </w:r>
      <w:r>
        <w:fldChar w:fldCharType="begin"/>
      </w:r>
      <w:r>
        <w:instrText xml:space="preserve"> PAGEREF _Toc522716126 \h </w:instrText>
      </w:r>
      <w:r>
        <w:fldChar w:fldCharType="separate"/>
      </w:r>
      <w:r>
        <w:t>12</w:t>
      </w:r>
      <w:r>
        <w:fldChar w:fldCharType="end"/>
      </w:r>
      <w:r>
        <w:fldChar w:fldCharType="end"/>
      </w:r>
    </w:p>
    <w:p>
      <w:r>
        <w:fldChar w:fldCharType="end"/>
      </w:r>
      <w:permEnd w:id="2"/>
    </w:p>
    <w:p>
      <w:pPr>
        <w:rPr>
          <w:b/>
          <w:bCs/>
          <w:caps/>
          <w:kern w:val="2"/>
          <w:szCs w:val="21"/>
          <w:lang w:eastAsia="zh-CN"/>
        </w:rPr>
      </w:pPr>
      <w:r>
        <w:rPr>
          <w:b/>
          <w:bCs/>
          <w:caps/>
          <w:kern w:val="2"/>
          <w:szCs w:val="21"/>
          <w:lang w:eastAsia="zh-CN"/>
        </w:rPr>
        <w:br w:type="page"/>
      </w:r>
    </w:p>
    <w:p>
      <w:pPr>
        <w:pStyle w:val="31"/>
        <w:numPr>
          <w:ilvl w:val="0"/>
          <w:numId w:val="3"/>
        </w:numPr>
        <w:spacing w:after="158" w:afterLines="50"/>
        <w:ind w:left="426" w:hanging="426" w:hangingChars="202"/>
        <w:outlineLvl w:val="0"/>
        <w:rPr>
          <w:rFonts w:ascii="Times New Roman" w:hAnsi="Times New Roman"/>
          <w:b/>
        </w:rPr>
      </w:pPr>
      <w:bookmarkStart w:id="5" w:name="_Toc522716115"/>
      <w:bookmarkStart w:id="6" w:name="_Toc522107735"/>
      <w:r>
        <w:rPr>
          <w:rFonts w:ascii="Times New Roman" w:hAnsi="Times New Roman"/>
          <w:b/>
        </w:rPr>
        <w:t>目的</w:t>
      </w:r>
      <w:bookmarkEnd w:id="5"/>
      <w:bookmarkEnd w:id="6"/>
    </w:p>
    <w:p>
      <w:pPr>
        <w:pStyle w:val="41"/>
        <w:spacing w:before="0" w:line="360" w:lineRule="auto"/>
        <w:ind w:left="357"/>
        <w:jc w:val="left"/>
        <w:rPr>
          <w:szCs w:val="21"/>
          <w:lang w:eastAsia="zh-CN"/>
        </w:rPr>
      </w:pPr>
      <w:bookmarkStart w:id="7" w:name="_Toc482369805"/>
      <w:bookmarkStart w:id="8" w:name="_Toc482370061"/>
      <w:bookmarkStart w:id="9" w:name="_Toc482370141"/>
      <w:bookmarkStart w:id="10" w:name="_Toc482359936"/>
      <w:bookmarkStart w:id="11" w:name="_Toc482370349"/>
      <w:bookmarkStart w:id="12" w:name="_Toc481702475"/>
      <w:bookmarkStart w:id="13" w:name="_Toc482360281"/>
      <w:bookmarkStart w:id="14" w:name="_Toc482370757"/>
      <w:bookmarkStart w:id="15" w:name="_Toc482625279"/>
      <w:r>
        <w:rPr>
          <w:szCs w:val="21"/>
          <w:lang w:eastAsia="zh-CN"/>
        </w:rPr>
        <w:t>本文件的目的是描述武汉生物制品研究所有限责任公司</w:t>
      </w:r>
      <w:permStart w:id="3" w:edGrp="everyone"/>
      <w:r>
        <w:rPr>
          <w:rFonts w:hint="eastAsia" w:ascii="宋体" w:hAnsi="宋体"/>
          <w:bCs/>
          <w:szCs w:val="21"/>
          <w:lang w:eastAsia="zh-CN"/>
        </w:rPr>
        <w:t>肠道病毒疫苗室</w:t>
      </w:r>
      <w:r>
        <w:rPr>
          <w:rFonts w:hint="eastAsia"/>
          <w:szCs w:val="21"/>
          <w:lang w:eastAsia="zh-CN"/>
        </w:rPr>
        <w:t>磁力带称重混匀推车</w:t>
      </w:r>
      <w:permEnd w:id="3"/>
      <w:r>
        <w:rPr>
          <w:szCs w:val="21"/>
          <w:lang w:eastAsia="zh-CN"/>
        </w:rPr>
        <w:t>的用户需求说明（URS），以确保最终用户的需求在项目设计阶段得以实现，并作为后续验证工作的基础。</w:t>
      </w:r>
    </w:p>
    <w:p>
      <w:pPr>
        <w:pStyle w:val="41"/>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6" w:name="_Toc522107736"/>
      <w:bookmarkStart w:id="17" w:name="_Toc522716116"/>
      <w:r>
        <w:rPr>
          <w:rFonts w:ascii="Times New Roman" w:hAnsi="Times New Roman"/>
          <w:b/>
        </w:rPr>
        <w:t>范围</w:t>
      </w:r>
      <w:bookmarkEnd w:id="16"/>
      <w:bookmarkEnd w:id="17"/>
    </w:p>
    <w:p>
      <w:pPr>
        <w:pStyle w:val="41"/>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ascii="宋体" w:hAnsi="宋体"/>
          <w:bCs/>
          <w:szCs w:val="21"/>
          <w:lang w:eastAsia="zh-CN"/>
        </w:rPr>
        <w:t>肠道病毒疫苗室</w:t>
      </w:r>
      <w:r>
        <w:rPr>
          <w:rFonts w:hint="eastAsia"/>
          <w:szCs w:val="21"/>
          <w:lang w:eastAsia="zh-CN"/>
        </w:rPr>
        <w:t>磁力带称重混匀推车</w:t>
      </w:r>
      <w:permEnd w:id="4"/>
      <w:r>
        <w:rPr>
          <w:szCs w:val="21"/>
          <w:lang w:eastAsia="zh-CN"/>
        </w:rPr>
        <w:t>。</w:t>
      </w:r>
      <w:bookmarkEnd w:id="7"/>
      <w:bookmarkEnd w:id="8"/>
      <w:bookmarkEnd w:id="9"/>
      <w:bookmarkEnd w:id="10"/>
      <w:bookmarkEnd w:id="11"/>
      <w:bookmarkEnd w:id="12"/>
      <w:bookmarkEnd w:id="13"/>
      <w:bookmarkEnd w:id="14"/>
      <w:bookmarkEnd w:id="15"/>
    </w:p>
    <w:p>
      <w:pPr>
        <w:pStyle w:val="41"/>
        <w:spacing w:before="0" w:line="360" w:lineRule="auto"/>
        <w:ind w:left="357"/>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8" w:name="_Toc522716117"/>
      <w:bookmarkStart w:id="19" w:name="_Toc522107737"/>
      <w:r>
        <w:rPr>
          <w:rFonts w:ascii="Times New Roman" w:hAnsi="Times New Roman"/>
          <w:b/>
        </w:rPr>
        <w:t>参考文件</w:t>
      </w:r>
      <w:bookmarkEnd w:id="18"/>
      <w:bookmarkEnd w:id="19"/>
    </w:p>
    <w:p>
      <w:pPr>
        <w:pStyle w:val="41"/>
        <w:numPr>
          <w:ilvl w:val="0"/>
          <w:numId w:val="4"/>
        </w:numPr>
        <w:spacing w:before="0" w:line="360" w:lineRule="auto"/>
        <w:jc w:val="left"/>
        <w:rPr>
          <w:color w:val="000000"/>
          <w:szCs w:val="21"/>
          <w:lang w:eastAsia="zh-CN"/>
        </w:rPr>
      </w:pPr>
      <w:r>
        <w:rPr>
          <w:color w:val="000000"/>
          <w:szCs w:val="21"/>
          <w:lang w:eastAsia="zh-CN"/>
        </w:rPr>
        <w:t>GMP法规指南和SOP</w:t>
      </w:r>
    </w:p>
    <w:p>
      <w:pPr>
        <w:pStyle w:val="41"/>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41"/>
        <w:numPr>
          <w:ilvl w:val="0"/>
          <w:numId w:val="5"/>
        </w:numPr>
        <w:spacing w:before="0" w:line="360" w:lineRule="auto"/>
        <w:ind w:left="777"/>
        <w:jc w:val="left"/>
        <w:rPr>
          <w:color w:val="000000"/>
          <w:szCs w:val="21"/>
          <w:lang w:eastAsia="zh-CN"/>
        </w:rPr>
      </w:pPr>
      <w:permStart w:id="5" w:edGrp="everyone"/>
      <w:r>
        <w:rPr>
          <w:color w:val="000000"/>
          <w:szCs w:val="21"/>
          <w:lang w:eastAsia="zh-CN"/>
        </w:rPr>
        <w:t>《中华人民共和国药典》2020版</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药品生产质量管理规范</w:t>
      </w:r>
      <w:r>
        <w:rPr>
          <w:rFonts w:hint="eastAsia"/>
          <w:lang w:eastAsia="zh-CN"/>
        </w:rPr>
        <w:t>2010年修订版</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《药品GMP指南》无菌药品（2011版）</w:t>
      </w:r>
    </w:p>
    <w:permEnd w:id="5"/>
    <w:p>
      <w:pPr>
        <w:pStyle w:val="41"/>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41"/>
        <w:numPr>
          <w:ilvl w:val="0"/>
          <w:numId w:val="5"/>
        </w:numPr>
        <w:spacing w:before="0" w:line="360" w:lineRule="auto"/>
        <w:ind w:left="777"/>
        <w:jc w:val="left"/>
        <w:rPr>
          <w:iCs/>
          <w:szCs w:val="21"/>
          <w:lang w:eastAsia="zh-CN"/>
        </w:rPr>
      </w:pPr>
      <w:permStart w:id="6" w:edGrp="everyone"/>
      <w:r>
        <w:rPr>
          <w:iCs/>
          <w:szCs w:val="21"/>
          <w:lang w:eastAsia="zh-CN"/>
        </w:rPr>
        <w:t>电气安全应符合GB4793.1和GB4793.4的要求。</w:t>
      </w:r>
    </w:p>
    <w:permEnd w:id="6"/>
    <w:p>
      <w:pPr>
        <w:pStyle w:val="41"/>
        <w:spacing w:before="0" w:line="360" w:lineRule="auto"/>
        <w:ind w:left="357"/>
        <w:jc w:val="left"/>
        <w:rPr>
          <w:i/>
          <w:szCs w:val="21"/>
          <w:lang w:eastAsia="zh-CN"/>
        </w:rPr>
      </w:pPr>
    </w:p>
    <w:p>
      <w:pPr>
        <w:pStyle w:val="31"/>
        <w:numPr>
          <w:ilvl w:val="0"/>
          <w:numId w:val="3"/>
        </w:numPr>
        <w:spacing w:after="158" w:afterLines="50"/>
        <w:ind w:left="426" w:hanging="426" w:hangingChars="202"/>
        <w:outlineLvl w:val="0"/>
        <w:rPr>
          <w:rFonts w:ascii="Times New Roman" w:hAnsi="Times New Roman"/>
          <w:b/>
        </w:rPr>
      </w:pPr>
      <w:permStart w:id="7" w:edGrp="everyone"/>
      <w:bookmarkStart w:id="20" w:name="_Toc522716119"/>
      <w:bookmarkStart w:id="21" w:name="_Toc522107739"/>
      <w:r>
        <w:rPr>
          <w:rFonts w:ascii="Times New Roman" w:hAnsi="Times New Roman"/>
          <w:b/>
        </w:rPr>
        <w:t>系</w:t>
      </w:r>
      <w:permEnd w:id="7"/>
      <w:r>
        <w:rPr>
          <w:rFonts w:ascii="Times New Roman" w:hAnsi="Times New Roman"/>
          <w:b/>
        </w:rPr>
        <w:t>统描述</w:t>
      </w:r>
      <w:bookmarkEnd w:id="20"/>
      <w:bookmarkEnd w:id="21"/>
    </w:p>
    <w:p>
      <w:pPr>
        <w:pStyle w:val="41"/>
        <w:spacing w:before="0" w:line="360" w:lineRule="auto"/>
        <w:ind w:left="357"/>
        <w:jc w:val="left"/>
        <w:rPr>
          <w:i/>
          <w:color w:val="4472C4"/>
          <w:szCs w:val="21"/>
          <w:lang w:eastAsia="zh-CN"/>
        </w:rPr>
      </w:pPr>
      <w:permStart w:id="8" w:edGrp="everyone"/>
      <w:r>
        <w:rPr>
          <w:rFonts w:hint="eastAsia"/>
          <w:iCs/>
          <w:szCs w:val="21"/>
          <w:lang w:eastAsia="zh-CN"/>
        </w:rPr>
        <w:t>磁力带称重混匀推车由推车和称重单元组成，需符</w:t>
      </w:r>
      <w:r>
        <w:rPr>
          <w:rFonts w:hint="eastAsia" w:ascii="宋体" w:hAnsi="宋体"/>
          <w:bCs/>
          <w:szCs w:val="21"/>
          <w:lang w:eastAsia="zh-CN"/>
        </w:rPr>
        <w:t>肠道病毒疫苗室</w:t>
      </w:r>
      <w:r>
        <w:rPr>
          <w:rFonts w:hint="eastAsia"/>
          <w:iCs/>
          <w:szCs w:val="21"/>
          <w:lang w:eastAsia="zh-CN"/>
        </w:rPr>
        <w:t>生产工艺要求。主要用于细胞组</w:t>
      </w:r>
      <w:r>
        <w:rPr>
          <w:rFonts w:hint="eastAsia"/>
          <w:lang w:eastAsia="zh-CN"/>
        </w:rPr>
        <w:t>细胞培养液、病毒培养液和后处理超滤、纯化用液体以及综合组疫苗稀释液</w:t>
      </w:r>
      <w:r>
        <w:rPr>
          <w:lang w:eastAsia="zh-CN"/>
        </w:rPr>
        <w:t>的配制</w:t>
      </w:r>
      <w:r>
        <w:rPr>
          <w:rFonts w:hint="eastAsia"/>
          <w:iCs/>
          <w:szCs w:val="21"/>
          <w:lang w:eastAsia="zh-CN"/>
        </w:rPr>
        <w:t>。本科室需请购</w:t>
      </w:r>
      <w:r>
        <w:rPr>
          <w:iCs/>
          <w:szCs w:val="21"/>
          <w:lang w:eastAsia="zh-CN"/>
        </w:rPr>
        <w:t>2</w:t>
      </w:r>
      <w:r>
        <w:rPr>
          <w:rFonts w:hint="eastAsia"/>
          <w:iCs/>
          <w:szCs w:val="21"/>
          <w:lang w:eastAsia="zh-CN"/>
        </w:rPr>
        <w:t>台1000L磁力带称重混匀推车，</w:t>
      </w:r>
      <w:r>
        <w:rPr>
          <w:iCs/>
          <w:szCs w:val="21"/>
          <w:lang w:eastAsia="zh-CN"/>
        </w:rPr>
        <w:t>2</w:t>
      </w:r>
      <w:r>
        <w:rPr>
          <w:rFonts w:hint="eastAsia"/>
          <w:iCs/>
          <w:szCs w:val="21"/>
          <w:lang w:eastAsia="zh-CN"/>
        </w:rPr>
        <w:t>台</w:t>
      </w:r>
      <w:r>
        <w:rPr>
          <w:iCs/>
          <w:szCs w:val="21"/>
          <w:lang w:eastAsia="zh-CN"/>
        </w:rPr>
        <w:t>65</w:t>
      </w:r>
      <w:r>
        <w:rPr>
          <w:rFonts w:hint="eastAsia"/>
          <w:iCs/>
          <w:szCs w:val="21"/>
          <w:lang w:eastAsia="zh-CN"/>
        </w:rPr>
        <w:t>0L磁力带称重混匀推车，以及相对应的称重单元。厂家提供磁力</w:t>
      </w:r>
      <w:r>
        <w:rPr>
          <w:rFonts w:hint="eastAsia" w:ascii="宋体" w:hAnsi="宋体"/>
          <w:bCs/>
          <w:szCs w:val="21"/>
          <w:lang w:eastAsia="zh-CN"/>
        </w:rPr>
        <w:t>带称重混匀推车需与肠道病毒疫苗室目前所具有的</w:t>
      </w:r>
      <w:r>
        <w:rPr>
          <w:rFonts w:hint="eastAsia"/>
          <w:iCs/>
          <w:szCs w:val="21"/>
          <w:lang w:eastAsia="zh-CN"/>
        </w:rPr>
        <w:t>磁力搅拌驱动器相匹配。肠道病毒疫苗室提供磁力搅拌驱动器，厂家测量、测试磁力搅拌驱动器尺寸大小、转速以及称重单元称量效果等相关参数，以确保</w:t>
      </w:r>
      <w:r>
        <w:rPr>
          <w:rFonts w:hint="eastAsia" w:ascii="宋体" w:hAnsi="宋体"/>
          <w:bCs/>
          <w:szCs w:val="21"/>
          <w:lang w:eastAsia="zh-CN"/>
        </w:rPr>
        <w:t>磁力带称重混匀推车可以满足肠道病毒疫苗室相关配液要求而不会造成其他不利影响</w:t>
      </w:r>
      <w:r>
        <w:rPr>
          <w:rFonts w:hint="eastAsia"/>
          <w:i/>
          <w:szCs w:val="21"/>
          <w:lang w:eastAsia="zh-CN"/>
        </w:rPr>
        <w:t>。</w:t>
      </w:r>
      <w:permEnd w:id="8"/>
    </w:p>
    <w:p>
      <w:pPr>
        <w:pStyle w:val="31"/>
        <w:numPr>
          <w:ilvl w:val="0"/>
          <w:numId w:val="3"/>
        </w:numPr>
        <w:spacing w:after="158" w:afterLines="50"/>
        <w:ind w:left="426" w:hanging="426" w:hangingChars="202"/>
        <w:outlineLvl w:val="0"/>
        <w:rPr>
          <w:rFonts w:ascii="Times New Roman" w:hAnsi="Times New Roman"/>
          <w:b/>
          <w:szCs w:val="21"/>
        </w:rPr>
      </w:pPr>
      <w:bookmarkStart w:id="22" w:name="_Toc522716120"/>
      <w:r>
        <w:rPr>
          <w:rFonts w:ascii="Times New Roman" w:hAnsi="Times New Roman"/>
          <w:b/>
          <w:szCs w:val="21"/>
        </w:rPr>
        <w:t>安装要求</w:t>
      </w:r>
      <w:bookmarkEnd w:id="22"/>
    </w:p>
    <w:p>
      <w:pPr>
        <w:pStyle w:val="31"/>
        <w:spacing w:after="158" w:afterLines="50"/>
        <w:ind w:left="425" w:firstLine="0" w:firstLineChars="0"/>
        <w:rPr>
          <w:rFonts w:ascii="Times New Roman" w:hAnsi="Times New Roman"/>
          <w:szCs w:val="21"/>
        </w:rPr>
      </w:pPr>
      <w:bookmarkStart w:id="47" w:name="_GoBack"/>
      <w:bookmarkEnd w:id="47"/>
      <w:permStart w:id="9" w:edGrp="everyone"/>
      <w:permEnd w:id="9"/>
    </w:p>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bookmarkStart w:id="23" w:name="OLE_LINK2"/>
            <w:bookmarkStart w:id="24" w:name="OLE_LINK1"/>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0" w:edGrp="everyone"/>
          </w:p>
        </w:tc>
        <w:tc>
          <w:tcPr>
            <w:tcW w:w="6970" w:type="dxa"/>
            <w:shd w:val="clear" w:color="auto" w:fill="auto"/>
            <w:vAlign w:val="center"/>
          </w:tcPr>
          <w:p>
            <w:pPr>
              <w:spacing w:line="276" w:lineRule="auto"/>
              <w:jc w:val="both"/>
              <w:rPr>
                <w:iCs/>
                <w:szCs w:val="21"/>
                <w:lang w:eastAsia="zh-CN"/>
              </w:rPr>
            </w:pPr>
            <w:r>
              <w:rPr>
                <w:rFonts w:hint="eastAsia" w:ascii="宋体" w:hAnsi="宋体"/>
                <w:bCs/>
                <w:szCs w:val="21"/>
                <w:lang w:eastAsia="zh-CN"/>
              </w:rPr>
              <w:t>肠道病毒疫苗室</w:t>
            </w:r>
            <w:r>
              <w:rPr>
                <w:rFonts w:hint="eastAsia"/>
                <w:iCs/>
                <w:szCs w:val="21"/>
                <w:lang w:eastAsia="zh-CN"/>
              </w:rPr>
              <w:t>配液间1、配液间2</w:t>
            </w:r>
          </w:p>
        </w:tc>
        <w:tc>
          <w:tcPr>
            <w:tcW w:w="2082" w:type="dxa"/>
            <w:shd w:val="clear" w:color="auto" w:fill="auto"/>
            <w:vAlign w:val="center"/>
          </w:tcPr>
          <w:p>
            <w:pPr>
              <w:jc w:val="both"/>
              <w:rPr>
                <w:iCs/>
                <w:szCs w:val="21"/>
                <w:lang w:eastAsia="zh-CN"/>
              </w:rPr>
            </w:pPr>
            <w:r>
              <w:rPr>
                <w:rFonts w:hint="eastAsia"/>
                <w:iCs/>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kern w:val="0"/>
                <w:szCs w:val="21"/>
                <w:lang w:val="en-GB"/>
              </w:rPr>
            </w:pPr>
            <w:permStart w:id="11" w:edGrp="everyone"/>
          </w:p>
        </w:tc>
        <w:tc>
          <w:tcPr>
            <w:tcW w:w="6970" w:type="dxa"/>
            <w:shd w:val="clear" w:color="auto" w:fill="auto"/>
            <w:vAlign w:val="center"/>
          </w:tcPr>
          <w:p>
            <w:pPr>
              <w:spacing w:line="276" w:lineRule="auto"/>
              <w:jc w:val="both"/>
              <w:rPr>
                <w:szCs w:val="21"/>
                <w:lang w:eastAsia="zh-CN"/>
              </w:rPr>
            </w:pPr>
            <w:r>
              <w:rPr>
                <w:rFonts w:hint="eastAsia"/>
                <w:szCs w:val="21"/>
                <w:lang w:eastAsia="zh-CN"/>
              </w:rPr>
              <w:t>1000</w:t>
            </w:r>
            <w:r>
              <w:rPr>
                <w:szCs w:val="21"/>
                <w:lang w:eastAsia="zh-CN"/>
              </w:rPr>
              <w:t>L</w:t>
            </w:r>
            <w:r>
              <w:rPr>
                <w:rFonts w:hint="eastAsia"/>
                <w:szCs w:val="21"/>
                <w:lang w:eastAsia="zh-CN"/>
              </w:rPr>
              <w:t>推车</w:t>
            </w:r>
            <w:r>
              <w:rPr>
                <w:szCs w:val="21"/>
                <w:lang w:eastAsia="zh-CN"/>
              </w:rPr>
              <w:t xml:space="preserve">: </w:t>
            </w:r>
            <w:r>
              <w:rPr>
                <w:rFonts w:hint="eastAsia"/>
                <w:szCs w:val="21"/>
                <w:lang w:eastAsia="zh-CN"/>
              </w:rPr>
              <w:t>1200*1200*1550mm</w:t>
            </w:r>
            <w:r>
              <w:rPr>
                <w:szCs w:val="21"/>
                <w:lang w:eastAsia="zh-CN"/>
              </w:rPr>
              <w:t>; 650</w:t>
            </w:r>
            <w:r>
              <w:rPr>
                <w:rFonts w:hint="eastAsia"/>
                <w:szCs w:val="21"/>
                <w:lang w:eastAsia="zh-CN"/>
              </w:rPr>
              <w:t>L推车：1020*1020*1420</w:t>
            </w:r>
            <w:r>
              <w:rPr>
                <w:szCs w:val="21"/>
                <w:lang w:eastAsia="zh-CN"/>
              </w:rPr>
              <w:t>mm</w:t>
            </w:r>
          </w:p>
        </w:tc>
        <w:tc>
          <w:tcPr>
            <w:tcW w:w="2082" w:type="dxa"/>
            <w:shd w:val="clear" w:color="auto" w:fill="auto"/>
            <w:vAlign w:val="center"/>
          </w:tcPr>
          <w:p>
            <w:pPr>
              <w:jc w:val="both"/>
              <w:rPr>
                <w:szCs w:val="21"/>
                <w:lang w:eastAsia="zh-CN"/>
              </w:rPr>
            </w:pPr>
            <w:r>
              <w:rPr>
                <w:rFonts w:hint="eastAsia"/>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2" w:edGrp="everyone"/>
          </w:p>
        </w:tc>
        <w:tc>
          <w:tcPr>
            <w:tcW w:w="6970" w:type="dxa"/>
            <w:shd w:val="clear" w:color="auto" w:fill="auto"/>
            <w:vAlign w:val="center"/>
          </w:tcPr>
          <w:p>
            <w:pPr>
              <w:spacing w:line="276" w:lineRule="auto"/>
              <w:jc w:val="both"/>
              <w:rPr>
                <w:szCs w:val="21"/>
                <w:lang w:val="en-US" w:eastAsia="zh-CN"/>
              </w:rPr>
            </w:pPr>
            <w:r>
              <w:rPr>
                <w:szCs w:val="21"/>
                <w:lang w:eastAsia="zh-CN"/>
              </w:rPr>
              <w:t>设备的形式尺寸应符合制造商说明书及技术文件规定的要求。</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spacing w:line="276" w:lineRule="auto"/>
              <w:jc w:val="both"/>
              <w:rPr>
                <w:szCs w:val="21"/>
                <w:lang w:eastAsia="zh-CN"/>
              </w:rPr>
            </w:pPr>
            <w:r>
              <w:rPr>
                <w:szCs w:val="21"/>
                <w:lang w:eastAsia="zh-CN"/>
              </w:rPr>
              <w:t>供应商必须给出设备选型方案及相应附件选型方案，并交给我公司使用部门及工程类部门审核。</w:t>
            </w:r>
          </w:p>
        </w:tc>
        <w:tc>
          <w:tcPr>
            <w:tcW w:w="2082" w:type="dxa"/>
            <w:shd w:val="clear" w:color="auto" w:fill="auto"/>
            <w:vAlign w:val="center"/>
          </w:tcPr>
          <w:p>
            <w:pPr>
              <w:jc w:val="both"/>
              <w:rPr>
                <w:szCs w:val="21"/>
                <w:lang w:eastAsia="zh-CN"/>
              </w:rPr>
            </w:pPr>
            <w:r>
              <w:rPr>
                <w:rFonts w:hint="eastAsia"/>
                <w:szCs w:val="21"/>
                <w:lang w:eastAsia="zh-CN"/>
              </w:rPr>
              <w:t>关键</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3" w:edGrp="everyone"/>
          </w:p>
        </w:tc>
        <w:tc>
          <w:tcPr>
            <w:tcW w:w="6970" w:type="dxa"/>
            <w:shd w:val="clear" w:color="auto" w:fill="auto"/>
            <w:vAlign w:val="center"/>
          </w:tcPr>
          <w:p>
            <w:pPr>
              <w:spacing w:line="276" w:lineRule="auto"/>
              <w:jc w:val="both"/>
              <w:rPr>
                <w:iCs/>
                <w:szCs w:val="21"/>
                <w:lang w:eastAsia="zh-CN"/>
              </w:rPr>
            </w:pPr>
            <w:r>
              <w:rPr>
                <w:rFonts w:hint="eastAsia"/>
                <w:iCs/>
                <w:szCs w:val="21"/>
                <w:lang w:eastAsia="zh-CN"/>
              </w:rPr>
              <w:t>1000L推车总重小于1300</w:t>
            </w:r>
            <w:r>
              <w:rPr>
                <w:iCs/>
                <w:szCs w:val="21"/>
                <w:lang w:eastAsia="zh-CN"/>
              </w:rPr>
              <w:t>KG</w:t>
            </w:r>
            <w:r>
              <w:rPr>
                <w:rFonts w:hint="eastAsia"/>
                <w:iCs/>
                <w:szCs w:val="21"/>
                <w:lang w:eastAsia="zh-CN"/>
              </w:rPr>
              <w:t xml:space="preserve">; </w:t>
            </w:r>
            <w:r>
              <w:rPr>
                <w:iCs/>
                <w:szCs w:val="21"/>
                <w:lang w:eastAsia="zh-CN"/>
              </w:rPr>
              <w:t>65</w:t>
            </w:r>
            <w:r>
              <w:rPr>
                <w:rFonts w:hint="eastAsia"/>
                <w:iCs/>
                <w:szCs w:val="21"/>
                <w:lang w:eastAsia="zh-CN"/>
              </w:rPr>
              <w:t>0L推车总重量小于80</w:t>
            </w:r>
            <w:r>
              <w:rPr>
                <w:iCs/>
                <w:szCs w:val="21"/>
                <w:lang w:eastAsia="zh-CN"/>
              </w:rPr>
              <w:t>0KG</w:t>
            </w:r>
            <w:r>
              <w:rPr>
                <w:rFonts w:hint="eastAsia"/>
                <w:iCs/>
                <w:szCs w:val="21"/>
                <w:lang w:eastAsia="zh-CN"/>
              </w:rPr>
              <w:t>（以上重量均为推车满载并处于工作状态时的重量）</w:t>
            </w:r>
          </w:p>
        </w:tc>
        <w:tc>
          <w:tcPr>
            <w:tcW w:w="2082" w:type="dxa"/>
            <w:shd w:val="clear" w:color="auto" w:fill="auto"/>
            <w:vAlign w:val="center"/>
          </w:tcPr>
          <w:p>
            <w:pPr>
              <w:jc w:val="both"/>
              <w:rPr>
                <w:szCs w:val="21"/>
                <w:lang w:eastAsia="zh-CN"/>
              </w:rPr>
            </w:pPr>
            <w:r>
              <w:rPr>
                <w:rFonts w:hint="eastAsia"/>
                <w:szCs w:val="21"/>
                <w:lang w:eastAsia="zh-CN"/>
              </w:rPr>
              <w:t>关键</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4" w:edGrp="everyone"/>
          </w:p>
        </w:tc>
        <w:tc>
          <w:tcPr>
            <w:tcW w:w="6970" w:type="dxa"/>
            <w:shd w:val="clear" w:color="auto" w:fill="auto"/>
            <w:vAlign w:val="center"/>
          </w:tcPr>
          <w:p>
            <w:pPr>
              <w:spacing w:line="276" w:lineRule="auto"/>
              <w:jc w:val="both"/>
              <w:rPr>
                <w:iCs/>
                <w:szCs w:val="21"/>
                <w:lang w:eastAsia="zh-CN"/>
              </w:rPr>
            </w:pPr>
            <w:r>
              <w:rPr>
                <w:rFonts w:hint="eastAsia"/>
                <w:iCs/>
                <w:szCs w:val="21"/>
                <w:lang w:eastAsia="zh-CN"/>
              </w:rPr>
              <w:t>注射用水</w:t>
            </w:r>
          </w:p>
        </w:tc>
        <w:tc>
          <w:tcPr>
            <w:tcW w:w="2082" w:type="dxa"/>
            <w:shd w:val="clear" w:color="auto" w:fill="auto"/>
            <w:vAlign w:val="center"/>
          </w:tcPr>
          <w:p>
            <w:pPr>
              <w:jc w:val="both"/>
              <w:rPr>
                <w:szCs w:val="21"/>
                <w:lang w:eastAsia="zh-CN"/>
              </w:rPr>
            </w:pPr>
            <w:r>
              <w:rPr>
                <w:rFonts w:hint="eastAsia"/>
                <w:szCs w:val="21"/>
                <w:lang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5" w:edGrp="everyone"/>
          </w:p>
        </w:tc>
        <w:tc>
          <w:tcPr>
            <w:tcW w:w="6970" w:type="dxa"/>
            <w:shd w:val="clear" w:color="auto" w:fill="auto"/>
            <w:vAlign w:val="center"/>
          </w:tcPr>
          <w:p>
            <w:pPr>
              <w:spacing w:line="276" w:lineRule="auto"/>
              <w:jc w:val="both"/>
              <w:rPr>
                <w:szCs w:val="21"/>
                <w:lang w:eastAsia="zh-CN"/>
              </w:rPr>
            </w:pPr>
            <w:r>
              <w:rPr>
                <w:rFonts w:hint="eastAsia"/>
                <w:szCs w:val="21"/>
                <w:lang w:eastAsia="zh-CN"/>
              </w:rPr>
              <w:t>纯化水</w:t>
            </w:r>
          </w:p>
        </w:tc>
        <w:tc>
          <w:tcPr>
            <w:tcW w:w="2082" w:type="dxa"/>
            <w:shd w:val="clear" w:color="auto" w:fill="auto"/>
            <w:vAlign w:val="center"/>
          </w:tcPr>
          <w:p>
            <w:pPr>
              <w:jc w:val="both"/>
              <w:rPr>
                <w:szCs w:val="21"/>
                <w:lang w:eastAsia="zh-CN"/>
              </w:rPr>
            </w:pPr>
            <w:r>
              <w:rPr>
                <w:rFonts w:hint="eastAsia"/>
                <w:szCs w:val="21"/>
                <w:lang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6" w:edGrp="everyone"/>
          </w:p>
        </w:tc>
        <w:tc>
          <w:tcPr>
            <w:tcW w:w="6970" w:type="dxa"/>
            <w:shd w:val="clear" w:color="auto" w:fill="auto"/>
            <w:vAlign w:val="center"/>
          </w:tcPr>
          <w:p>
            <w:pPr>
              <w:spacing w:line="276" w:lineRule="auto"/>
              <w:jc w:val="both"/>
              <w:rPr>
                <w:szCs w:val="21"/>
                <w:lang w:eastAsia="zh-CN"/>
              </w:rPr>
            </w:pPr>
            <w:r>
              <w:rPr>
                <w:rFonts w:hint="eastAsia"/>
                <w:iCs/>
                <w:lang w:eastAsia="zh-CN"/>
              </w:rPr>
              <w:t>适应于我公司</w:t>
            </w:r>
            <w:r>
              <w:rPr>
                <w:iCs/>
                <w:lang w:eastAsia="zh-CN"/>
              </w:rPr>
              <w:t>工作环境</w:t>
            </w:r>
            <w:r>
              <w:rPr>
                <w:color w:val="000000"/>
                <w:lang w:eastAsia="zh-CN"/>
              </w:rPr>
              <w:t>温度：能适应</w:t>
            </w:r>
            <w:r>
              <w:rPr>
                <w:lang w:eastAsia="zh-CN"/>
              </w:rPr>
              <w:t>1</w:t>
            </w:r>
            <w:r>
              <w:rPr>
                <w:rFonts w:hint="eastAsia"/>
                <w:lang w:eastAsia="zh-CN"/>
              </w:rPr>
              <w:t>8</w:t>
            </w:r>
            <w:r>
              <w:rPr>
                <w:rFonts w:hint="eastAsia" w:ascii="宋体" w:hAnsi="宋体" w:cs="宋体"/>
                <w:color w:val="000000"/>
                <w:lang w:eastAsia="zh-CN"/>
              </w:rPr>
              <w:t>℃</w:t>
            </w:r>
            <w:r>
              <w:rPr>
                <w:color w:val="000000"/>
                <w:lang w:eastAsia="zh-CN"/>
              </w:rPr>
              <w:t>～</w:t>
            </w:r>
            <w:r>
              <w:rPr>
                <w:rFonts w:hint="eastAsia"/>
                <w:color w:val="000000"/>
                <w:lang w:eastAsia="zh-CN"/>
              </w:rPr>
              <w:t>26</w:t>
            </w:r>
            <w:r>
              <w:rPr>
                <w:rFonts w:hint="eastAsia" w:ascii="宋体" w:hAnsi="宋体" w:cs="宋体"/>
                <w:color w:val="000000"/>
                <w:lang w:eastAsia="zh-CN"/>
              </w:rPr>
              <w:t>℃</w:t>
            </w:r>
            <w:r>
              <w:rPr>
                <w:color w:val="000000"/>
                <w:lang w:eastAsia="zh-CN"/>
              </w:rPr>
              <w:t xml:space="preserve">环境 </w:t>
            </w:r>
          </w:p>
        </w:tc>
        <w:tc>
          <w:tcPr>
            <w:tcW w:w="2082" w:type="dxa"/>
            <w:shd w:val="clear" w:color="auto" w:fill="auto"/>
            <w:vAlign w:val="center"/>
          </w:tcPr>
          <w:p>
            <w:pPr>
              <w:jc w:val="both"/>
              <w:rPr>
                <w:szCs w:val="21"/>
                <w:lang w:eastAsia="zh-CN"/>
              </w:rPr>
            </w:pPr>
            <w:r>
              <w:rPr>
                <w:rFonts w:hint="eastAsia"/>
                <w:szCs w:val="21"/>
                <w:lang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7" w:edGrp="everyone"/>
          </w:p>
        </w:tc>
        <w:tc>
          <w:tcPr>
            <w:tcW w:w="6970" w:type="dxa"/>
            <w:shd w:val="clear" w:color="auto" w:fill="auto"/>
            <w:vAlign w:val="center"/>
          </w:tcPr>
          <w:p>
            <w:pPr>
              <w:spacing w:line="276" w:lineRule="auto"/>
              <w:jc w:val="both"/>
              <w:rPr>
                <w:szCs w:val="21"/>
                <w:lang w:eastAsia="zh-CN"/>
              </w:rPr>
            </w:pPr>
            <w:r>
              <w:rPr>
                <w:rFonts w:hint="eastAsia"/>
                <w:color w:val="000000"/>
                <w:lang w:eastAsia="zh-CN"/>
              </w:rPr>
              <w:t>适应于我公司</w:t>
            </w:r>
            <w:r>
              <w:rPr>
                <w:color w:val="000000"/>
                <w:lang w:eastAsia="zh-CN"/>
              </w:rPr>
              <w:t>工作环境湿度：至少包括</w:t>
            </w:r>
            <w:r>
              <w:rPr>
                <w:lang w:eastAsia="zh-CN"/>
              </w:rPr>
              <w:t>45%～65</w:t>
            </w:r>
            <w:r>
              <w:rPr>
                <w:color w:val="000000"/>
                <w:lang w:eastAsia="zh-CN"/>
              </w:rPr>
              <w:t>%</w:t>
            </w:r>
          </w:p>
        </w:tc>
        <w:tc>
          <w:tcPr>
            <w:tcW w:w="2082" w:type="dxa"/>
            <w:shd w:val="clear" w:color="auto" w:fill="auto"/>
            <w:vAlign w:val="center"/>
          </w:tcPr>
          <w:p>
            <w:pPr>
              <w:jc w:val="both"/>
              <w:rPr>
                <w:szCs w:val="21"/>
                <w:lang w:eastAsia="zh-CN"/>
              </w:rPr>
            </w:pPr>
            <w:r>
              <w:rPr>
                <w:rFonts w:hint="eastAsia"/>
                <w:szCs w:val="21"/>
                <w:lang w:eastAsia="zh-CN"/>
              </w:rPr>
              <w:t>关键</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8" w:edGrp="everyone"/>
          </w:p>
        </w:tc>
        <w:tc>
          <w:tcPr>
            <w:tcW w:w="6970" w:type="dxa"/>
            <w:shd w:val="clear" w:color="auto" w:fill="auto"/>
            <w:vAlign w:val="center"/>
          </w:tcPr>
          <w:p>
            <w:pPr>
              <w:spacing w:line="276" w:lineRule="auto"/>
              <w:jc w:val="both"/>
              <w:rPr>
                <w:color w:val="000000"/>
                <w:lang w:eastAsia="zh-CN"/>
              </w:rPr>
            </w:pPr>
            <w:r>
              <w:rPr>
                <w:rFonts w:hint="eastAsia"/>
                <w:color w:val="000000"/>
                <w:lang w:eastAsia="zh-CN"/>
              </w:rPr>
              <w:t>适应于我公司</w:t>
            </w:r>
            <w:r>
              <w:rPr>
                <w:color w:val="000000"/>
                <w:lang w:eastAsia="zh-CN"/>
              </w:rPr>
              <w:t>工作环境洁净级别：</w:t>
            </w:r>
            <w:r>
              <w:rPr>
                <w:rFonts w:hint="eastAsia"/>
                <w:color w:val="000000"/>
                <w:lang w:eastAsia="zh-CN"/>
              </w:rPr>
              <w:t>C级洁净区</w:t>
            </w:r>
          </w:p>
        </w:tc>
        <w:tc>
          <w:tcPr>
            <w:tcW w:w="2082" w:type="dxa"/>
            <w:shd w:val="clear" w:color="auto" w:fill="auto"/>
            <w:vAlign w:val="center"/>
          </w:tcPr>
          <w:p>
            <w:pPr>
              <w:jc w:val="both"/>
              <w:rPr>
                <w:szCs w:val="21"/>
                <w:lang w:eastAsia="zh-CN"/>
              </w:rPr>
            </w:pPr>
            <w:r>
              <w:rPr>
                <w:rFonts w:hint="eastAsia"/>
                <w:szCs w:val="21"/>
                <w:lang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9" w:edGrp="everyone"/>
          </w:p>
        </w:tc>
        <w:tc>
          <w:tcPr>
            <w:tcW w:w="6970" w:type="dxa"/>
            <w:shd w:val="clear" w:color="auto" w:fill="auto"/>
            <w:vAlign w:val="center"/>
          </w:tcPr>
          <w:p>
            <w:pPr>
              <w:spacing w:line="276" w:lineRule="auto"/>
              <w:jc w:val="both"/>
              <w:rPr>
                <w:color w:val="000000"/>
                <w:lang w:eastAsia="zh-CN"/>
              </w:rPr>
            </w:pPr>
            <w:r>
              <w:rPr>
                <w:color w:val="000000"/>
                <w:lang w:eastAsia="zh-CN"/>
              </w:rPr>
              <w:t>交流电电源：</w:t>
            </w:r>
            <w:r>
              <w:rPr>
                <w:iCs/>
                <w:lang w:eastAsia="zh-CN"/>
              </w:rPr>
              <w:t>～220±10%V，50±1Hz</w:t>
            </w:r>
            <w:r>
              <w:rPr>
                <w:i/>
                <w:color w:val="0070C0"/>
                <w:lang w:eastAsia="zh-CN"/>
              </w:rPr>
              <w:t xml:space="preserve"> </w:t>
            </w:r>
          </w:p>
        </w:tc>
        <w:tc>
          <w:tcPr>
            <w:tcW w:w="2082" w:type="dxa"/>
            <w:shd w:val="clear" w:color="auto" w:fill="auto"/>
            <w:vAlign w:val="center"/>
          </w:tcPr>
          <w:p>
            <w:pPr>
              <w:jc w:val="both"/>
              <w:rPr>
                <w:szCs w:val="21"/>
                <w:lang w:eastAsia="zh-CN"/>
              </w:rPr>
            </w:pPr>
            <w:r>
              <w:rPr>
                <w:rFonts w:hint="eastAsia"/>
                <w:szCs w:val="21"/>
                <w:lang w:eastAsia="zh-CN"/>
              </w:rPr>
              <w:t>关键</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0" w:edGrp="everyone"/>
          </w:p>
        </w:tc>
        <w:tc>
          <w:tcPr>
            <w:tcW w:w="6970" w:type="dxa"/>
            <w:shd w:val="clear" w:color="auto" w:fill="auto"/>
            <w:vAlign w:val="center"/>
          </w:tcPr>
          <w:p>
            <w:pPr>
              <w:spacing w:line="276" w:lineRule="auto"/>
              <w:jc w:val="both"/>
              <w:rPr>
                <w:szCs w:val="21"/>
                <w:lang w:eastAsia="zh-CN"/>
              </w:rPr>
            </w:pPr>
            <w:r>
              <w:rPr>
                <w:rFonts w:hint="eastAsia" w:cs="Tahoma" w:asciiTheme="majorEastAsia" w:hAnsiTheme="majorEastAsia" w:eastAsiaTheme="majorEastAsia"/>
                <w:szCs w:val="21"/>
                <w:lang w:eastAsia="zh-CN"/>
              </w:rPr>
              <w:t>采用304以上不锈钢材质，表面无尖锐突出。</w:t>
            </w:r>
            <w:r>
              <w:rPr>
                <w:rFonts w:hint="eastAsia" w:asciiTheme="majorEastAsia" w:hAnsiTheme="majorEastAsia" w:eastAsiaTheme="majorEastAsia"/>
                <w:szCs w:val="21"/>
                <w:shd w:val="clear" w:color="auto" w:fill="FFFFFF"/>
                <w:lang w:eastAsia="zh-CN"/>
              </w:rPr>
              <w:t>表面粗糙度Ra≤1.2um，</w:t>
            </w:r>
            <w:r>
              <w:rPr>
                <w:rFonts w:cs="Tahoma" w:asciiTheme="majorEastAsia" w:hAnsiTheme="majorEastAsia" w:eastAsiaTheme="majorEastAsia"/>
                <w:szCs w:val="21"/>
                <w:lang w:eastAsia="zh-CN"/>
              </w:rPr>
              <w:t>设备内</w:t>
            </w:r>
            <w:r>
              <w:rPr>
                <w:rFonts w:hint="eastAsia" w:cs="Tahoma" w:asciiTheme="majorEastAsia" w:hAnsiTheme="majorEastAsia" w:eastAsiaTheme="majorEastAsia"/>
                <w:szCs w:val="21"/>
                <w:lang w:eastAsia="zh-CN"/>
              </w:rPr>
              <w:t>、</w:t>
            </w:r>
            <w:r>
              <w:rPr>
                <w:rFonts w:cs="Tahoma" w:asciiTheme="majorEastAsia" w:hAnsiTheme="majorEastAsia" w:eastAsiaTheme="majorEastAsia"/>
                <w:szCs w:val="21"/>
                <w:lang w:eastAsia="zh-CN"/>
              </w:rPr>
              <w:t>外表面</w:t>
            </w:r>
            <w:r>
              <w:rPr>
                <w:rFonts w:hint="eastAsia" w:cs="Tahoma" w:asciiTheme="majorEastAsia" w:hAnsiTheme="majorEastAsia" w:eastAsiaTheme="majorEastAsia"/>
                <w:szCs w:val="21"/>
                <w:lang w:eastAsia="zh-CN"/>
              </w:rPr>
              <w:t>光滑，无清洁盲角</w:t>
            </w:r>
            <w:r>
              <w:rPr>
                <w:rFonts w:hint="eastAsia"/>
                <w:szCs w:val="21"/>
                <w:lang w:eastAsia="zh-CN"/>
              </w:rPr>
              <w:t>。</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spacing w:line="276" w:lineRule="auto"/>
              <w:jc w:val="both"/>
              <w:rPr>
                <w:rFonts w:cs="Tahoma" w:asciiTheme="majorEastAsia" w:hAnsiTheme="majorEastAsia" w:eastAsiaTheme="majorEastAsia"/>
                <w:szCs w:val="21"/>
                <w:lang w:eastAsia="zh-CN"/>
              </w:rPr>
            </w:pPr>
            <w:r>
              <w:rPr>
                <w:rFonts w:hint="eastAsia" w:cs="Tahoma" w:asciiTheme="majorEastAsia" w:hAnsiTheme="majorEastAsia" w:eastAsiaTheme="majorEastAsia"/>
                <w:szCs w:val="21"/>
                <w:lang w:eastAsia="zh-CN"/>
              </w:rPr>
              <w:t>不锈钢底座带卫生级橡胶轮，防止损坏地面。四轮均为万向轮且可锁定。</w:t>
            </w:r>
          </w:p>
        </w:tc>
        <w:tc>
          <w:tcPr>
            <w:tcW w:w="2082" w:type="dxa"/>
            <w:shd w:val="clear" w:color="auto" w:fill="auto"/>
            <w:vAlign w:val="center"/>
          </w:tcPr>
          <w:p>
            <w:pPr>
              <w:jc w:val="both"/>
              <w:rPr>
                <w:szCs w:val="21"/>
                <w:lang w:eastAsia="zh-CN"/>
              </w:rPr>
            </w:pPr>
            <w:r>
              <w:rPr>
                <w:rFonts w:hint="eastAsia"/>
                <w:szCs w:val="21"/>
                <w:lang w:eastAsia="zh-CN"/>
              </w:rPr>
              <w:t>关键</w:t>
            </w:r>
          </w:p>
          <w:p>
            <w:pPr>
              <w:jc w:val="both"/>
              <w:rPr>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spacing w:line="276" w:lineRule="auto"/>
              <w:jc w:val="both"/>
              <w:rPr>
                <w:rFonts w:cs="Tahoma" w:asciiTheme="majorEastAsia" w:hAnsiTheme="majorEastAsia" w:eastAsiaTheme="majorEastAsia"/>
                <w:szCs w:val="21"/>
                <w:lang w:eastAsia="zh-CN"/>
              </w:rPr>
            </w:pPr>
            <w:r>
              <w:rPr>
                <w:rFonts w:hint="eastAsia" w:cs="Tahoma" w:asciiTheme="majorEastAsia" w:hAnsiTheme="majorEastAsia" w:eastAsiaTheme="majorEastAsia"/>
                <w:szCs w:val="21"/>
                <w:lang w:eastAsia="zh-CN"/>
              </w:rPr>
              <w:t>推车应配备梯子及补料液放置平台，方便补料操作。梯子应与推车相适应，且为工作人员提供足够的安全保障，如不易摔落等。</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spacing w:line="276" w:lineRule="auto"/>
              <w:jc w:val="both"/>
              <w:rPr>
                <w:rFonts w:cs="Tahoma" w:asciiTheme="majorEastAsia" w:hAnsiTheme="majorEastAsia" w:eastAsiaTheme="majorEastAsia"/>
                <w:szCs w:val="21"/>
                <w:lang w:eastAsia="zh-CN"/>
              </w:rPr>
            </w:pPr>
            <w:r>
              <w:rPr>
                <w:rFonts w:hint="eastAsia" w:cs="Tahoma" w:asciiTheme="majorEastAsia" w:hAnsiTheme="majorEastAsia" w:eastAsiaTheme="majorEastAsia"/>
                <w:szCs w:val="21"/>
                <w:lang w:eastAsia="zh-CN"/>
              </w:rPr>
              <w:t>推车应配备投料口固定装置，方面单人操作补料。固定装置应可拆卸，表面光滑，不会对配液带构成伤害。</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spacing w:line="276" w:lineRule="auto"/>
              <w:jc w:val="both"/>
              <w:rPr>
                <w:szCs w:val="21"/>
                <w:lang w:eastAsia="zh-CN"/>
              </w:rPr>
            </w:pPr>
            <w:r>
              <w:rPr>
                <w:rFonts w:hint="eastAsia" w:cs="Tahoma" w:asciiTheme="majorEastAsia" w:hAnsiTheme="majorEastAsia" w:eastAsiaTheme="majorEastAsia"/>
                <w:szCs w:val="21"/>
                <w:lang w:eastAsia="zh-CN"/>
              </w:rPr>
              <w:t>推车侧面应</w:t>
            </w:r>
            <w:r>
              <w:rPr>
                <w:rFonts w:cs="Tahoma" w:asciiTheme="majorEastAsia" w:hAnsiTheme="majorEastAsia" w:eastAsiaTheme="majorEastAsia"/>
                <w:szCs w:val="21"/>
                <w:lang w:eastAsia="zh-CN"/>
              </w:rPr>
              <w:t>有</w:t>
            </w:r>
            <w:r>
              <w:rPr>
                <w:rFonts w:hint="eastAsia" w:cs="Tahoma" w:asciiTheme="majorEastAsia" w:hAnsiTheme="majorEastAsia" w:eastAsiaTheme="majorEastAsia"/>
                <w:szCs w:val="21"/>
                <w:lang w:eastAsia="zh-CN"/>
              </w:rPr>
              <w:t>观察</w:t>
            </w:r>
            <w:r>
              <w:rPr>
                <w:rFonts w:cs="Tahoma" w:asciiTheme="majorEastAsia" w:hAnsiTheme="majorEastAsia" w:eastAsiaTheme="majorEastAsia"/>
                <w:szCs w:val="21"/>
                <w:lang w:eastAsia="zh-CN"/>
              </w:rPr>
              <w:t>窗口，</w:t>
            </w:r>
            <w:r>
              <w:rPr>
                <w:rFonts w:hint="eastAsia" w:cs="Tahoma" w:asciiTheme="majorEastAsia" w:hAnsiTheme="majorEastAsia" w:eastAsiaTheme="majorEastAsia"/>
                <w:szCs w:val="21"/>
                <w:lang w:eastAsia="zh-CN"/>
              </w:rPr>
              <w:t>可</w:t>
            </w:r>
            <w:r>
              <w:rPr>
                <w:rFonts w:cs="Tahoma" w:asciiTheme="majorEastAsia" w:hAnsiTheme="majorEastAsia" w:eastAsiaTheme="majorEastAsia"/>
                <w:szCs w:val="21"/>
                <w:lang w:eastAsia="zh-CN"/>
              </w:rPr>
              <w:t>查看配制袋内溶液体积状况</w:t>
            </w:r>
            <w:r>
              <w:rPr>
                <w:rFonts w:hint="eastAsia"/>
                <w:szCs w:val="21"/>
                <w:lang w:eastAsia="zh-CN"/>
              </w:rPr>
              <w:t>。</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spacing w:line="276" w:lineRule="auto"/>
              <w:jc w:val="both"/>
              <w:rPr>
                <w:rFonts w:cs="Tahoma" w:asciiTheme="majorEastAsia" w:hAnsiTheme="majorEastAsia" w:eastAsiaTheme="majorEastAsia"/>
                <w:szCs w:val="21"/>
                <w:lang w:eastAsia="zh-CN"/>
              </w:rPr>
            </w:pPr>
            <w:r>
              <w:rPr>
                <w:rFonts w:hint="eastAsia" w:cs="Tahoma" w:asciiTheme="majorEastAsia" w:hAnsiTheme="majorEastAsia" w:eastAsiaTheme="majorEastAsia"/>
                <w:szCs w:val="21"/>
                <w:lang w:eastAsia="zh-CN"/>
              </w:rPr>
              <w:t>推车需独配备称重系统,与推车采用一体设计。</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spacing w:line="276" w:lineRule="auto"/>
              <w:jc w:val="both"/>
              <w:rPr>
                <w:szCs w:val="21"/>
                <w:lang w:eastAsia="zh-CN"/>
              </w:rPr>
            </w:pPr>
            <w:r>
              <w:rPr>
                <w:szCs w:val="21"/>
                <w:lang w:val="en-US" w:eastAsia="zh-CN"/>
              </w:rPr>
              <w:t>标识</w:t>
            </w:r>
            <w:r>
              <w:rPr>
                <w:szCs w:val="21"/>
                <w:lang w:eastAsia="zh-CN"/>
              </w:rPr>
              <w:t xml:space="preserve">：至少应有以下永久贴牢和清楚易认的标识： </w:t>
            </w:r>
          </w:p>
          <w:p>
            <w:pPr>
              <w:spacing w:line="276" w:lineRule="auto"/>
              <w:jc w:val="both"/>
              <w:rPr>
                <w:szCs w:val="21"/>
                <w:lang w:eastAsia="zh-CN"/>
              </w:rPr>
            </w:pPr>
            <w:r>
              <w:rPr>
                <w:szCs w:val="21"/>
                <w:lang w:eastAsia="zh-CN"/>
              </w:rPr>
              <w:t>（1）制造/供应单位；</w:t>
            </w:r>
          </w:p>
          <w:p>
            <w:pPr>
              <w:spacing w:line="276" w:lineRule="auto"/>
              <w:jc w:val="both"/>
              <w:rPr>
                <w:szCs w:val="21"/>
                <w:lang w:eastAsia="zh-CN"/>
              </w:rPr>
            </w:pPr>
            <w:r>
              <w:rPr>
                <w:szCs w:val="21"/>
                <w:lang w:eastAsia="zh-CN"/>
              </w:rPr>
              <w:t>（2）产品注册号；</w:t>
            </w:r>
          </w:p>
          <w:p>
            <w:pPr>
              <w:spacing w:line="276" w:lineRule="auto"/>
              <w:jc w:val="both"/>
              <w:rPr>
                <w:szCs w:val="21"/>
                <w:lang w:eastAsia="zh-CN"/>
              </w:rPr>
            </w:pPr>
            <w:r>
              <w:rPr>
                <w:szCs w:val="21"/>
                <w:lang w:eastAsia="zh-CN"/>
              </w:rPr>
              <w:t>（3）型号；</w:t>
            </w:r>
          </w:p>
          <w:p>
            <w:pPr>
              <w:spacing w:line="276" w:lineRule="auto"/>
              <w:jc w:val="both"/>
              <w:rPr>
                <w:szCs w:val="21"/>
                <w:lang w:eastAsia="zh-CN"/>
              </w:rPr>
            </w:pPr>
            <w:r>
              <w:rPr>
                <w:szCs w:val="21"/>
                <w:lang w:eastAsia="zh-CN"/>
              </w:rPr>
              <w:t>（4）生产日期或编号；</w:t>
            </w:r>
          </w:p>
          <w:p>
            <w:pPr>
              <w:spacing w:line="276" w:lineRule="auto"/>
              <w:jc w:val="both"/>
              <w:rPr>
                <w:szCs w:val="21"/>
                <w:lang w:eastAsia="zh-CN"/>
              </w:rPr>
            </w:pPr>
            <w:r>
              <w:rPr>
                <w:szCs w:val="21"/>
                <w:lang w:eastAsia="zh-CN"/>
              </w:rPr>
              <w:t>（5）对设备必要的说明；</w:t>
            </w:r>
          </w:p>
          <w:p>
            <w:pPr>
              <w:pStyle w:val="7"/>
              <w:spacing w:line="276" w:lineRule="auto"/>
              <w:rPr>
                <w:color w:val="0070C0"/>
                <w:sz w:val="21"/>
                <w:szCs w:val="21"/>
                <w:lang w:eastAsia="zh-CN"/>
              </w:rPr>
            </w:pPr>
            <w:r>
              <w:rPr>
                <w:sz w:val="21"/>
                <w:szCs w:val="21"/>
              </w:rPr>
              <w:t>（</w:t>
            </w:r>
            <w:r>
              <w:rPr>
                <w:sz w:val="21"/>
                <w:szCs w:val="21"/>
                <w:lang w:eastAsia="zh-CN"/>
              </w:rPr>
              <w:t>6</w:t>
            </w:r>
            <w:r>
              <w:rPr>
                <w:sz w:val="21"/>
                <w:szCs w:val="21"/>
              </w:rPr>
              <w:t>）安全标识。</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spacing w:line="276" w:lineRule="auto"/>
              <w:jc w:val="both"/>
              <w:rPr>
                <w:szCs w:val="21"/>
                <w:lang w:val="en-US" w:eastAsia="zh-CN"/>
              </w:rPr>
            </w:pPr>
            <w:r>
              <w:rPr>
                <w:rFonts w:hint="eastAsia"/>
                <w:szCs w:val="21"/>
                <w:lang w:val="en-US" w:eastAsia="zh-CN"/>
              </w:rPr>
              <w:t>设备标识要采用钢印铭牌并固定在可靠、易识别的地方，不要使用胶带式贴牌或喷码式贴牌。</w:t>
            </w:r>
          </w:p>
        </w:tc>
        <w:tc>
          <w:tcPr>
            <w:tcW w:w="2082" w:type="dxa"/>
            <w:shd w:val="clear" w:color="auto" w:fill="auto"/>
            <w:vAlign w:val="center"/>
          </w:tcPr>
          <w:p>
            <w:pPr>
              <w:jc w:val="both"/>
              <w:rPr>
                <w:szCs w:val="21"/>
                <w:lang w:eastAsia="zh-CN"/>
              </w:rPr>
            </w:pPr>
            <w:r>
              <w:rPr>
                <w:rFonts w:hint="eastAsia"/>
                <w:szCs w:val="21"/>
                <w:lang w:eastAsia="zh-CN"/>
              </w:rPr>
              <w:t>关键</w:t>
            </w:r>
          </w:p>
        </w:tc>
      </w:tr>
      <w:bookmarkEnd w:id="23"/>
      <w:bookmarkEnd w:id="24"/>
      <w:permEnd w:id="20"/>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25" w:name="_Toc522716121"/>
      <w:bookmarkStart w:id="26" w:name="_Toc522107740"/>
      <w:r>
        <w:rPr>
          <w:rFonts w:ascii="Times New Roman" w:hAnsi="Times New Roman"/>
          <w:b/>
        </w:rPr>
        <w:t>运行要求</w:t>
      </w:r>
      <w:bookmarkEnd w:id="25"/>
      <w:bookmarkEnd w:id="26"/>
    </w:p>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permStart w:id="21" w:edGrp="everyone"/>
            <w:permEnd w:id="21"/>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8"/>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2" w:edGrp="everyone"/>
          </w:p>
        </w:tc>
        <w:tc>
          <w:tcPr>
            <w:tcW w:w="6970" w:type="dxa"/>
            <w:shd w:val="clear" w:color="auto" w:fill="auto"/>
            <w:vAlign w:val="center"/>
          </w:tcPr>
          <w:p>
            <w:pPr>
              <w:spacing w:line="276" w:lineRule="auto"/>
              <w:jc w:val="both"/>
              <w:rPr>
                <w:iCs/>
                <w:szCs w:val="21"/>
                <w:lang w:eastAsia="zh-CN"/>
              </w:rPr>
            </w:pPr>
            <w:r>
              <w:rPr>
                <w:rFonts w:hint="eastAsia"/>
                <w:iCs/>
                <w:szCs w:val="21"/>
                <w:lang w:eastAsia="zh-CN"/>
              </w:rPr>
              <w:t>1000</w:t>
            </w:r>
            <w:r>
              <w:rPr>
                <w:iCs/>
                <w:szCs w:val="21"/>
                <w:lang w:eastAsia="zh-CN"/>
              </w:rPr>
              <w:t>L</w:t>
            </w:r>
            <w:r>
              <w:rPr>
                <w:rFonts w:hint="eastAsia"/>
                <w:iCs/>
                <w:szCs w:val="21"/>
                <w:lang w:eastAsia="zh-CN"/>
              </w:rPr>
              <w:t>、</w:t>
            </w:r>
            <w:r>
              <w:rPr>
                <w:iCs/>
                <w:szCs w:val="21"/>
                <w:lang w:eastAsia="zh-CN"/>
              </w:rPr>
              <w:t>65</w:t>
            </w:r>
            <w:r>
              <w:rPr>
                <w:rFonts w:hint="eastAsia"/>
                <w:iCs/>
                <w:szCs w:val="21"/>
                <w:lang w:eastAsia="zh-CN"/>
              </w:rPr>
              <w:t>0L两种规格推车</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spacing w:line="276" w:lineRule="auto"/>
              <w:jc w:val="both"/>
              <w:rPr>
                <w:iCs/>
                <w:szCs w:val="21"/>
                <w:lang w:eastAsia="zh-CN"/>
              </w:rPr>
            </w:pPr>
            <w:r>
              <w:rPr>
                <w:rFonts w:hint="eastAsia"/>
                <w:iCs/>
                <w:szCs w:val="21"/>
                <w:lang w:eastAsia="zh-CN"/>
              </w:rPr>
              <w:t>需提供匹配的一次性、无菌、无热原的配液袋的相关信息，该配液袋、储液袋材质应有完备的材质证明和质量证明文件，满足盛装、储存、配制抗体原液生产中的各类中间体/缓冲液的需求。</w:t>
            </w:r>
          </w:p>
        </w:tc>
        <w:tc>
          <w:tcPr>
            <w:tcW w:w="2082" w:type="dxa"/>
            <w:shd w:val="clear" w:color="auto" w:fill="auto"/>
            <w:vAlign w:val="center"/>
          </w:tcPr>
          <w:p>
            <w:pPr>
              <w:jc w:val="both"/>
              <w:rPr>
                <w:szCs w:val="21"/>
                <w:lang w:eastAsia="zh-CN"/>
              </w:rPr>
            </w:pPr>
            <w:r>
              <w:rPr>
                <w:rFonts w:hint="eastAsia"/>
                <w:szCs w:val="21"/>
                <w:lang w:eastAsia="zh-CN"/>
              </w:rPr>
              <w:t>关键</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8"/>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3" w:edGrp="everyone"/>
          </w:p>
        </w:tc>
        <w:tc>
          <w:tcPr>
            <w:tcW w:w="6970" w:type="dxa"/>
            <w:shd w:val="clear" w:color="auto" w:fill="auto"/>
            <w:vAlign w:val="center"/>
          </w:tcPr>
          <w:p>
            <w:pPr>
              <w:spacing w:line="276" w:lineRule="auto"/>
              <w:jc w:val="both"/>
              <w:rPr>
                <w:iCs/>
                <w:szCs w:val="21"/>
                <w:lang w:eastAsia="zh-CN"/>
              </w:rPr>
            </w:pPr>
            <w:r>
              <w:rPr>
                <w:rFonts w:hint="eastAsia"/>
                <w:iCs/>
                <w:szCs w:val="21"/>
                <w:lang w:eastAsia="zh-CN"/>
              </w:rPr>
              <w:t>100</w:t>
            </w:r>
            <w:r>
              <w:rPr>
                <w:iCs/>
                <w:szCs w:val="21"/>
                <w:lang w:eastAsia="zh-CN"/>
              </w:rPr>
              <w:t>0</w:t>
            </w:r>
            <w:r>
              <w:rPr>
                <w:rFonts w:hint="eastAsia"/>
                <w:iCs/>
                <w:szCs w:val="21"/>
                <w:lang w:eastAsia="zh-CN"/>
              </w:rPr>
              <w:t>L推车:最大容积100</w:t>
            </w:r>
            <w:r>
              <w:rPr>
                <w:iCs/>
                <w:szCs w:val="21"/>
                <w:lang w:eastAsia="zh-CN"/>
              </w:rPr>
              <w:t>0</w:t>
            </w:r>
            <w:r>
              <w:rPr>
                <w:rFonts w:hint="eastAsia"/>
                <w:iCs/>
                <w:szCs w:val="21"/>
                <w:lang w:eastAsia="zh-CN"/>
              </w:rPr>
              <w:t>L; 6</w:t>
            </w:r>
            <w:r>
              <w:rPr>
                <w:iCs/>
                <w:szCs w:val="21"/>
                <w:lang w:eastAsia="zh-CN"/>
              </w:rPr>
              <w:t>5</w:t>
            </w:r>
            <w:r>
              <w:rPr>
                <w:rFonts w:hint="eastAsia"/>
                <w:iCs/>
                <w:szCs w:val="21"/>
                <w:lang w:eastAsia="zh-CN"/>
              </w:rPr>
              <w:t>0L推车: 最大容积6</w:t>
            </w:r>
            <w:r>
              <w:rPr>
                <w:iCs/>
                <w:szCs w:val="21"/>
                <w:lang w:eastAsia="zh-CN"/>
              </w:rPr>
              <w:t>5</w:t>
            </w:r>
            <w:r>
              <w:rPr>
                <w:rFonts w:hint="eastAsia"/>
                <w:iCs/>
                <w:szCs w:val="21"/>
                <w:lang w:eastAsia="zh-CN"/>
              </w:rPr>
              <w:t>0L</w:t>
            </w:r>
          </w:p>
        </w:tc>
        <w:tc>
          <w:tcPr>
            <w:tcW w:w="2082" w:type="dxa"/>
            <w:shd w:val="clear" w:color="auto" w:fill="auto"/>
            <w:vAlign w:val="center"/>
          </w:tcPr>
          <w:p>
            <w:pPr>
              <w:jc w:val="both"/>
              <w:rPr>
                <w:szCs w:val="21"/>
                <w:lang w:eastAsia="zh-CN"/>
              </w:rPr>
            </w:pPr>
            <w:r>
              <w:rPr>
                <w:rFonts w:hint="eastAsia"/>
                <w:szCs w:val="21"/>
                <w:lang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8"/>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4" w:edGrp="everyone"/>
          </w:p>
        </w:tc>
        <w:tc>
          <w:tcPr>
            <w:tcW w:w="6970" w:type="dxa"/>
            <w:shd w:val="clear" w:color="auto" w:fill="auto"/>
            <w:vAlign w:val="center"/>
          </w:tcPr>
          <w:p>
            <w:pPr>
              <w:spacing w:line="276" w:lineRule="auto"/>
              <w:jc w:val="both"/>
              <w:rPr>
                <w:iCs/>
                <w:szCs w:val="21"/>
                <w:lang w:eastAsia="zh-CN"/>
              </w:rPr>
            </w:pPr>
            <w:r>
              <w:rPr>
                <w:rFonts w:hint="eastAsia"/>
                <w:sz w:val="20"/>
              </w:rPr>
              <w:t>工作</w:t>
            </w:r>
            <w:r>
              <w:rPr>
                <w:sz w:val="20"/>
              </w:rPr>
              <w:t>体积：20%-100%</w:t>
            </w:r>
            <w:r>
              <w:rPr>
                <w:rFonts w:hint="eastAsia"/>
                <w:sz w:val="20"/>
                <w:lang w:eastAsia="zh-CN"/>
              </w:rPr>
              <w:t>。</w:t>
            </w:r>
          </w:p>
        </w:tc>
        <w:tc>
          <w:tcPr>
            <w:tcW w:w="2082" w:type="dxa"/>
            <w:shd w:val="clear" w:color="auto" w:fill="auto"/>
            <w:vAlign w:val="center"/>
          </w:tcPr>
          <w:p>
            <w:pPr>
              <w:jc w:val="both"/>
              <w:rPr>
                <w:szCs w:val="21"/>
                <w:lang w:eastAsia="zh-CN"/>
              </w:rPr>
            </w:pPr>
            <w:r>
              <w:rPr>
                <w:rFonts w:hint="eastAsia"/>
                <w:szCs w:val="21"/>
                <w:lang w:eastAsia="zh-CN"/>
              </w:rPr>
              <w:t>关键</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5" w:edGrp="everyone"/>
          </w:p>
        </w:tc>
        <w:tc>
          <w:tcPr>
            <w:tcW w:w="6970" w:type="dxa"/>
            <w:shd w:val="clear" w:color="auto" w:fill="auto"/>
            <w:vAlign w:val="center"/>
          </w:tcPr>
          <w:p>
            <w:pPr>
              <w:spacing w:line="276" w:lineRule="auto"/>
              <w:jc w:val="both"/>
              <w:rPr>
                <w:szCs w:val="21"/>
                <w:lang w:val="en-US" w:eastAsia="zh-CN"/>
              </w:rPr>
            </w:pPr>
            <w:r>
              <w:rPr>
                <w:rFonts w:hint="eastAsia" w:asciiTheme="majorEastAsia" w:hAnsiTheme="majorEastAsia" w:eastAsiaTheme="majorEastAsia"/>
                <w:szCs w:val="21"/>
                <w:lang w:eastAsia="zh-CN"/>
              </w:rPr>
              <w:t>搅拌驱动的搅拌转速为0-300</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rpm</w:t>
            </w:r>
            <w:r>
              <w:rPr>
                <w:rFonts w:asciiTheme="majorEastAsia" w:hAnsiTheme="majorEastAsia" w:eastAsiaTheme="majorEastAsia"/>
                <w:szCs w:val="21"/>
                <w:lang w:eastAsia="zh-CN"/>
              </w:rPr>
              <w:t>/min</w:t>
            </w:r>
            <w:r>
              <w:rPr>
                <w:rFonts w:hint="eastAsia" w:asciiTheme="majorEastAsia" w:hAnsiTheme="majorEastAsia" w:eastAsiaTheme="majorEastAsia"/>
                <w:szCs w:val="21"/>
                <w:lang w:eastAsia="zh-CN"/>
              </w:rPr>
              <w:t>。</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spacing w:line="276" w:lineRule="auto"/>
              <w:jc w:val="both"/>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搅拌驱动的搅拌转速精度为小于±3</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rpm</w:t>
            </w:r>
            <w:r>
              <w:rPr>
                <w:rFonts w:asciiTheme="majorEastAsia" w:hAnsiTheme="majorEastAsia" w:eastAsiaTheme="majorEastAsia"/>
                <w:szCs w:val="21"/>
                <w:lang w:eastAsia="zh-CN"/>
              </w:rPr>
              <w:t>/min</w:t>
            </w:r>
            <w:r>
              <w:rPr>
                <w:rFonts w:hint="eastAsia" w:asciiTheme="majorEastAsia" w:hAnsiTheme="majorEastAsia" w:eastAsiaTheme="majorEastAsia"/>
                <w:szCs w:val="21"/>
                <w:lang w:eastAsia="zh-CN"/>
              </w:rPr>
              <w:t>。</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spacing w:line="276" w:lineRule="auto"/>
              <w:jc w:val="both"/>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称量误差不大于5‰，最小分度值为</w:t>
            </w:r>
            <w:r>
              <w:rPr>
                <w:rFonts w:asciiTheme="majorEastAsia" w:hAnsiTheme="majorEastAsia" w:eastAsiaTheme="majorEastAsia"/>
                <w:szCs w:val="21"/>
                <w:lang w:eastAsia="zh-CN"/>
              </w:rPr>
              <w:t>100g</w:t>
            </w:r>
            <w:r>
              <w:rPr>
                <w:rFonts w:hint="eastAsia" w:asciiTheme="majorEastAsia" w:hAnsiTheme="majorEastAsia" w:eastAsiaTheme="majorEastAsia"/>
                <w:szCs w:val="21"/>
                <w:lang w:eastAsia="zh-CN"/>
              </w:rPr>
              <w:t>。</w:t>
            </w:r>
          </w:p>
        </w:tc>
        <w:tc>
          <w:tcPr>
            <w:tcW w:w="2082" w:type="dxa"/>
            <w:shd w:val="clear" w:color="auto" w:fill="auto"/>
            <w:vAlign w:val="center"/>
          </w:tcPr>
          <w:p>
            <w:pPr>
              <w:jc w:val="both"/>
              <w:rPr>
                <w:szCs w:val="21"/>
                <w:lang w:eastAsia="zh-CN"/>
              </w:rPr>
            </w:pPr>
            <w:r>
              <w:rPr>
                <w:rFonts w:hint="eastAsia"/>
                <w:szCs w:val="21"/>
                <w:lang w:eastAsia="zh-CN"/>
              </w:rPr>
              <w:t>关键</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8"/>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6" w:edGrp="everyone"/>
          </w:p>
        </w:tc>
        <w:tc>
          <w:tcPr>
            <w:tcW w:w="6970" w:type="dxa"/>
            <w:shd w:val="clear" w:color="auto" w:fill="auto"/>
            <w:vAlign w:val="center"/>
          </w:tcPr>
          <w:p>
            <w:pPr>
              <w:spacing w:line="276" w:lineRule="auto"/>
              <w:jc w:val="both"/>
              <w:rPr>
                <w:iCs/>
                <w:szCs w:val="21"/>
                <w:lang w:eastAsia="zh-CN"/>
              </w:rPr>
            </w:pPr>
            <w:r>
              <w:rPr>
                <w:rFonts w:hint="eastAsia" w:asciiTheme="majorEastAsia" w:hAnsiTheme="majorEastAsia" w:eastAsiaTheme="majorEastAsia"/>
                <w:szCs w:val="21"/>
                <w:lang w:eastAsia="zh-CN"/>
              </w:rPr>
              <w:t>采用底部磁力搅拌，推车和搅拌驱动采用分体式设计，推车应可以与肠道病毒疫苗室目前所具有的磁力搅拌器大小尺寸相匹配，安装拆卸方便轻松。</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spacing w:line="276" w:lineRule="auto"/>
              <w:jc w:val="both"/>
              <w:rPr>
                <w:szCs w:val="21"/>
                <w:lang w:eastAsia="zh-CN"/>
              </w:rPr>
            </w:pPr>
            <w:r>
              <w:rPr>
                <w:rFonts w:hint="eastAsia"/>
                <w:szCs w:val="21"/>
                <w:lang w:eastAsia="zh-CN"/>
              </w:rPr>
              <w:t>可以100%排尽溶液</w:t>
            </w:r>
          </w:p>
        </w:tc>
        <w:tc>
          <w:tcPr>
            <w:tcW w:w="2082" w:type="dxa"/>
            <w:shd w:val="clear" w:color="auto" w:fill="auto"/>
            <w:vAlign w:val="center"/>
          </w:tcPr>
          <w:p>
            <w:pPr>
              <w:jc w:val="both"/>
              <w:rPr>
                <w:szCs w:val="21"/>
                <w:lang w:eastAsia="zh-CN"/>
              </w:rPr>
            </w:pPr>
            <w:r>
              <w:rPr>
                <w:rFonts w:hint="eastAsia"/>
                <w:szCs w:val="21"/>
                <w:lang w:eastAsia="zh-CN"/>
              </w:rPr>
              <w:t>关键</w:t>
            </w:r>
          </w:p>
        </w:tc>
      </w:tr>
      <w:permEnd w:id="26"/>
    </w:tbl>
    <w:p>
      <w:pPr>
        <w:pStyle w:val="31"/>
        <w:numPr>
          <w:ilvl w:val="0"/>
          <w:numId w:val="3"/>
        </w:numPr>
        <w:spacing w:after="158" w:afterLines="50"/>
        <w:ind w:left="426" w:hanging="426" w:hangingChars="202"/>
        <w:outlineLvl w:val="0"/>
        <w:rPr>
          <w:rFonts w:ascii="Times New Roman" w:hAnsi="Times New Roman"/>
          <w:b/>
        </w:rPr>
      </w:pPr>
      <w:bookmarkStart w:id="27" w:name="_Toc522716122"/>
      <w:bookmarkStart w:id="28" w:name="_Toc522107742"/>
      <w:bookmarkStart w:id="29" w:name="_Toc483400317"/>
      <w:bookmarkStart w:id="30" w:name="_Toc482370071"/>
      <w:bookmarkStart w:id="31" w:name="_Toc482625289"/>
      <w:bookmarkStart w:id="32" w:name="_Toc482370767"/>
      <w:bookmarkStart w:id="33" w:name="_Toc482369815"/>
      <w:bookmarkStart w:id="34" w:name="_Toc482717202"/>
      <w:bookmarkStart w:id="35" w:name="_Toc482359946"/>
      <w:bookmarkStart w:id="36" w:name="_Toc482370151"/>
      <w:bookmarkStart w:id="37" w:name="_Toc482370359"/>
      <w:bookmarkStart w:id="38" w:name="_Toc482360291"/>
      <w:bookmarkStart w:id="39" w:name="_Toc481702480"/>
      <w:bookmarkStart w:id="40" w:name="_Toc483227237"/>
      <w:r>
        <w:rPr>
          <w:rFonts w:ascii="Times New Roman" w:hAnsi="Times New Roman"/>
          <w:b/>
        </w:rPr>
        <w:t>电气、自动控制要求</w:t>
      </w:r>
      <w:bookmarkEnd w:id="27"/>
    </w:p>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permStart w:id="27" w:edGrp="everyone"/>
            <w:permEnd w:id="27"/>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2"/>
                <w:numId w:val="9"/>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8" w:edGrp="everyone"/>
          </w:p>
        </w:tc>
        <w:tc>
          <w:tcPr>
            <w:tcW w:w="6970" w:type="dxa"/>
            <w:shd w:val="clear" w:color="auto" w:fill="auto"/>
            <w:vAlign w:val="center"/>
          </w:tcPr>
          <w:p>
            <w:pPr>
              <w:spacing w:line="276" w:lineRule="auto"/>
              <w:jc w:val="both"/>
              <w:rPr>
                <w:lang w:val="en-US" w:eastAsia="zh-CN"/>
              </w:rPr>
            </w:pPr>
            <w:r>
              <w:rPr>
                <w:rFonts w:hint="eastAsia"/>
                <w:lang w:val="en-US" w:eastAsia="zh-CN"/>
              </w:rPr>
              <w:t>配备温度检测</w:t>
            </w:r>
          </w:p>
        </w:tc>
        <w:tc>
          <w:tcPr>
            <w:tcW w:w="2082" w:type="dxa"/>
            <w:shd w:val="clear" w:color="auto" w:fill="auto"/>
            <w:vAlign w:val="center"/>
          </w:tcPr>
          <w:p>
            <w:pPr>
              <w:jc w:val="both"/>
              <w:rPr>
                <w:szCs w:val="21"/>
                <w:lang w:eastAsia="zh-CN"/>
              </w:rPr>
            </w:pPr>
            <w:r>
              <w:rPr>
                <w:rFonts w:hint="eastAsia"/>
                <w:szCs w:val="21"/>
                <w:lang w:eastAsia="zh-CN"/>
              </w:rPr>
              <w:t>关键</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9" w:edGrp="everyone"/>
          </w:p>
        </w:tc>
        <w:tc>
          <w:tcPr>
            <w:tcW w:w="6970" w:type="dxa"/>
            <w:shd w:val="clear" w:color="auto" w:fill="auto"/>
            <w:vAlign w:val="center"/>
          </w:tcPr>
          <w:p>
            <w:pPr>
              <w:spacing w:line="276" w:lineRule="auto"/>
              <w:jc w:val="both"/>
              <w:rPr>
                <w:iCs/>
                <w:szCs w:val="21"/>
                <w:lang w:eastAsia="zh-CN"/>
              </w:rPr>
            </w:pPr>
            <w:r>
              <w:rPr>
                <w:rFonts w:hint="eastAsia"/>
                <w:lang w:eastAsia="zh-CN"/>
              </w:rPr>
              <w:t>测试</w:t>
            </w:r>
            <w:r>
              <w:rPr>
                <w:rFonts w:hint="eastAsia" w:asciiTheme="majorEastAsia" w:hAnsiTheme="majorEastAsia" w:eastAsiaTheme="majorEastAsia"/>
                <w:szCs w:val="21"/>
                <w:lang w:eastAsia="zh-CN"/>
              </w:rPr>
              <w:t>磁力搅拌器</w:t>
            </w:r>
            <w:r>
              <w:rPr>
                <w:rFonts w:hint="eastAsia"/>
                <w:lang w:eastAsia="zh-CN"/>
              </w:rPr>
              <w:t>手动控制启动/停止，并确认速度调节和显示功能。</w:t>
            </w:r>
          </w:p>
        </w:tc>
        <w:tc>
          <w:tcPr>
            <w:tcW w:w="2082" w:type="dxa"/>
            <w:shd w:val="clear" w:color="auto" w:fill="auto"/>
            <w:vAlign w:val="center"/>
          </w:tcPr>
          <w:p>
            <w:pPr>
              <w:jc w:val="both"/>
              <w:rPr>
                <w:szCs w:val="21"/>
                <w:lang w:eastAsia="zh-CN"/>
              </w:rPr>
            </w:pPr>
            <w:r>
              <w:rPr>
                <w:rFonts w:hint="eastAsia"/>
                <w:szCs w:val="21"/>
                <w:lang w:eastAsia="zh-CN"/>
              </w:rPr>
              <w:t>关键</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2"/>
                <w:numId w:val="9"/>
              </w:numPr>
              <w:ind w:firstLineChars="0"/>
              <w:rPr>
                <w:rFonts w:ascii="Times New Roman" w:hAnsi="Times New Roman"/>
                <w:szCs w:val="21"/>
              </w:rPr>
            </w:pPr>
          </w:p>
        </w:tc>
        <w:tc>
          <w:tcPr>
            <w:tcW w:w="9052"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8D8D8" w:themeFill="background1" w:themeFillShade="D9"/>
            <w:vAlign w:val="center"/>
          </w:tcPr>
          <w:p>
            <w:pPr>
              <w:ind w:left="426"/>
              <w:rPr>
                <w:szCs w:val="21"/>
              </w:rPr>
            </w:pPr>
            <w:permStart w:id="30" w:edGrp="everyone"/>
          </w:p>
        </w:tc>
        <w:tc>
          <w:tcPr>
            <w:tcW w:w="9052" w:type="dxa"/>
            <w:gridSpan w:val="2"/>
            <w:shd w:val="clear" w:color="auto" w:fill="auto"/>
            <w:vAlign w:val="center"/>
          </w:tcPr>
          <w:p>
            <w:pPr>
              <w:jc w:val="both"/>
              <w:rPr>
                <w:szCs w:val="21"/>
                <w:lang w:eastAsia="zh-CN"/>
              </w:rPr>
            </w:pPr>
            <w:r>
              <w:rPr>
                <w:rFonts w:hint="eastAsia"/>
                <w:szCs w:val="21"/>
                <w:lang w:eastAsia="zh-CN"/>
              </w:rPr>
              <w:t>N</w:t>
            </w:r>
            <w:r>
              <w:rPr>
                <w:szCs w:val="21"/>
                <w:lang w:eastAsia="zh-CN"/>
              </w:rPr>
              <w:t>\A</w:t>
            </w:r>
          </w:p>
        </w:tc>
      </w:tr>
      <w:permEnd w:id="30"/>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1" w:name="_Toc522716123"/>
      <w:r>
        <w:rPr>
          <w:rFonts w:ascii="Times New Roman" w:hAnsi="Times New Roman"/>
          <w:b/>
        </w:rPr>
        <w:t>安全要求</w:t>
      </w:r>
      <w:bookmarkEnd w:id="28"/>
      <w:bookmarkEnd w:id="41"/>
    </w:p>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6969"/>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286" w:type="dxa"/>
            <w:shd w:val="clear" w:color="auto" w:fill="D9D9D9"/>
            <w:vAlign w:val="center"/>
          </w:tcPr>
          <w:p>
            <w:pPr>
              <w:jc w:val="center"/>
              <w:rPr>
                <w:b/>
                <w:szCs w:val="21"/>
              </w:rPr>
            </w:pPr>
            <w:permStart w:id="31" w:edGrp="everyone"/>
            <w:permEnd w:id="31"/>
            <w:r>
              <w:rPr>
                <w:b/>
                <w:szCs w:val="21"/>
              </w:rPr>
              <w:t>编号</w:t>
            </w:r>
          </w:p>
        </w:tc>
        <w:tc>
          <w:tcPr>
            <w:tcW w:w="6969"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6" w:type="dxa"/>
            <w:shd w:val="clear" w:color="auto" w:fill="D9D9D9"/>
            <w:vAlign w:val="center"/>
          </w:tcPr>
          <w:p>
            <w:pPr>
              <w:pStyle w:val="31"/>
              <w:numPr>
                <w:ilvl w:val="0"/>
                <w:numId w:val="10"/>
              </w:numPr>
              <w:ind w:firstLineChars="0"/>
              <w:rPr>
                <w:rFonts w:ascii="Times New Roman" w:hAnsi="Times New Roman"/>
                <w:szCs w:val="21"/>
              </w:rPr>
            </w:pPr>
          </w:p>
        </w:tc>
        <w:tc>
          <w:tcPr>
            <w:tcW w:w="9051"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6" w:type="dxa"/>
            <w:shd w:val="clear" w:color="auto" w:fill="D8D8D8" w:themeFill="background1" w:themeFillShade="D9"/>
            <w:vAlign w:val="center"/>
          </w:tcPr>
          <w:p>
            <w:pPr>
              <w:ind w:left="426"/>
              <w:rPr>
                <w:szCs w:val="21"/>
              </w:rPr>
            </w:pPr>
            <w:permStart w:id="32" w:edGrp="everyone"/>
          </w:p>
        </w:tc>
        <w:tc>
          <w:tcPr>
            <w:tcW w:w="9051" w:type="dxa"/>
            <w:gridSpan w:val="2"/>
            <w:shd w:val="clear" w:color="auto" w:fill="auto"/>
            <w:vAlign w:val="center"/>
          </w:tcPr>
          <w:p>
            <w:pPr>
              <w:jc w:val="both"/>
              <w:rPr>
                <w:szCs w:val="21"/>
                <w:lang w:eastAsia="zh-CN"/>
              </w:rPr>
            </w:pPr>
            <w:r>
              <w:rPr>
                <w:rFonts w:hint="eastAsia"/>
                <w:szCs w:val="21"/>
                <w:lang w:eastAsia="zh-CN"/>
              </w:rPr>
              <w:t>N</w:t>
            </w:r>
            <w:r>
              <w:rPr>
                <w:szCs w:val="21"/>
                <w:lang w:eastAsia="zh-CN"/>
              </w:rPr>
              <w:t>\A</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6" w:type="dxa"/>
            <w:shd w:val="clear" w:color="auto" w:fill="D9D9D9"/>
            <w:vAlign w:val="center"/>
          </w:tcPr>
          <w:p>
            <w:pPr>
              <w:pStyle w:val="31"/>
              <w:numPr>
                <w:ilvl w:val="0"/>
                <w:numId w:val="10"/>
              </w:numPr>
              <w:ind w:firstLineChars="0"/>
              <w:rPr>
                <w:rFonts w:ascii="Times New Roman" w:hAnsi="Times New Roman"/>
                <w:szCs w:val="21"/>
              </w:rPr>
            </w:pPr>
          </w:p>
        </w:tc>
        <w:tc>
          <w:tcPr>
            <w:tcW w:w="6969" w:type="dxa"/>
            <w:shd w:val="clear" w:color="auto" w:fill="D9D9D9"/>
            <w:vAlign w:val="center"/>
          </w:tcPr>
          <w:p>
            <w:pPr>
              <w:jc w:val="both"/>
              <w:rPr>
                <w:szCs w:val="21"/>
                <w:lang w:eastAsia="zh-CN"/>
              </w:rPr>
            </w:pPr>
            <w:r>
              <w:rPr>
                <w:szCs w:val="21"/>
                <w:lang w:eastAsia="zh-CN"/>
              </w:rPr>
              <w:t>电气保护</w:t>
            </w:r>
          </w:p>
        </w:tc>
        <w:tc>
          <w:tcPr>
            <w:tcW w:w="2082"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6" w:type="dxa"/>
            <w:shd w:val="clear" w:color="auto" w:fill="D8D8D8" w:themeFill="background1" w:themeFillShade="D9"/>
            <w:vAlign w:val="center"/>
          </w:tcPr>
          <w:p>
            <w:pPr>
              <w:ind w:left="426"/>
              <w:rPr>
                <w:szCs w:val="21"/>
                <w:lang w:eastAsia="zh-CN"/>
              </w:rPr>
            </w:pPr>
            <w:permStart w:id="33" w:edGrp="everyone"/>
            <w:r>
              <w:rPr>
                <w:rFonts w:hint="eastAsia"/>
                <w:szCs w:val="21"/>
                <w:lang w:eastAsia="zh-CN"/>
              </w:rPr>
              <w:t>U</w:t>
            </w:r>
            <w:r>
              <w:rPr>
                <w:szCs w:val="21"/>
                <w:lang w:eastAsia="zh-CN"/>
              </w:rPr>
              <w:t>RS29</w:t>
            </w:r>
          </w:p>
        </w:tc>
        <w:tc>
          <w:tcPr>
            <w:tcW w:w="6969" w:type="dxa"/>
            <w:shd w:val="clear" w:color="auto" w:fill="auto"/>
            <w:vAlign w:val="center"/>
          </w:tcPr>
          <w:p>
            <w:pPr>
              <w:rPr>
                <w:iCs/>
                <w:szCs w:val="21"/>
                <w:lang w:eastAsia="zh-CN"/>
              </w:rPr>
            </w:pPr>
            <w:r>
              <w:rPr>
                <w:rFonts w:hint="eastAsia"/>
                <w:lang w:eastAsia="zh-CN"/>
              </w:rPr>
              <w:t>协助肠道病毒疫苗室改造和确认</w:t>
            </w:r>
            <w:r>
              <w:rPr>
                <w:rFonts w:hint="eastAsia"/>
                <w:iCs/>
                <w:szCs w:val="21"/>
                <w:lang w:eastAsia="zh-CN"/>
              </w:rPr>
              <w:t>磁力搅拌驱动器和称重单元等电器设备达到以下要求：</w:t>
            </w:r>
          </w:p>
          <w:p>
            <w:pPr>
              <w:rPr>
                <w:lang w:eastAsia="zh-CN"/>
              </w:rPr>
            </w:pPr>
            <w:r>
              <w:rPr>
                <w:rFonts w:hint="eastAsia"/>
                <w:lang w:eastAsia="zh-CN"/>
              </w:rPr>
              <w:t>1、电器系统应有过流保护，搅拌电机应有过载保护；</w:t>
            </w:r>
          </w:p>
          <w:p>
            <w:pPr>
              <w:widowControl w:val="0"/>
              <w:overflowPunct/>
              <w:autoSpaceDE/>
              <w:autoSpaceDN/>
              <w:adjustRightInd/>
              <w:jc w:val="both"/>
              <w:textAlignment w:val="auto"/>
              <w:rPr>
                <w:rFonts w:ascii="Calibri" w:hAnsi="Calibri"/>
                <w:kern w:val="2"/>
                <w:szCs w:val="22"/>
                <w:lang w:val="en-US" w:eastAsia="zh-CN"/>
              </w:rPr>
            </w:pPr>
            <w:r>
              <w:rPr>
                <w:rFonts w:hint="eastAsia"/>
                <w:lang w:eastAsia="zh-CN"/>
              </w:rPr>
              <w:t>2、电器系统应有良好的接地；</w:t>
            </w:r>
          </w:p>
        </w:tc>
        <w:tc>
          <w:tcPr>
            <w:tcW w:w="2082" w:type="dxa"/>
            <w:shd w:val="clear" w:color="auto" w:fill="auto"/>
            <w:vAlign w:val="center"/>
          </w:tcPr>
          <w:p>
            <w:pPr>
              <w:jc w:val="both"/>
              <w:rPr>
                <w:szCs w:val="21"/>
                <w:lang w:eastAsia="zh-CN"/>
              </w:rPr>
            </w:pPr>
            <w:r>
              <w:rPr>
                <w:rFonts w:hint="eastAsia"/>
                <w:szCs w:val="21"/>
                <w:lang w:eastAsia="zh-CN"/>
              </w:rPr>
              <w:t>关键</w:t>
            </w:r>
          </w:p>
        </w:tc>
      </w:tr>
      <w:permEnd w:id="33"/>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2" w:name="_Toc522716124"/>
      <w:bookmarkStart w:id="43" w:name="_Toc522107743"/>
      <w:r>
        <w:rPr>
          <w:rFonts w:ascii="Times New Roman" w:hAnsi="Times New Roman"/>
          <w:b/>
        </w:rPr>
        <w:t>文件要求</w:t>
      </w:r>
      <w:bookmarkEnd w:id="42"/>
      <w:bookmarkEnd w:id="43"/>
    </w:p>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permStart w:id="34" w:edGrp="everyone"/>
            <w:permEnd w:id="34"/>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35" w:edGrp="everyone"/>
          </w:p>
        </w:tc>
        <w:tc>
          <w:tcPr>
            <w:tcW w:w="6970" w:type="dxa"/>
            <w:shd w:val="clear" w:color="auto" w:fill="auto"/>
            <w:vAlign w:val="center"/>
          </w:tcPr>
          <w:p>
            <w:pPr>
              <w:jc w:val="both"/>
              <w:rPr>
                <w:szCs w:val="21"/>
                <w:lang w:eastAsia="zh-CN"/>
              </w:rPr>
            </w:pPr>
            <w:r>
              <w:rPr>
                <w:szCs w:val="21"/>
                <w:lang w:eastAsia="zh-CN"/>
              </w:rPr>
              <w:t>在设备开箱验收前提供</w:t>
            </w:r>
            <w:r>
              <w:rPr>
                <w:rFonts w:hint="eastAsia"/>
                <w:szCs w:val="21"/>
                <w:lang w:eastAsia="zh-CN"/>
              </w:rPr>
              <w:t>投标文件。</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eastAsia="zh-CN"/>
              </w:rPr>
            </w:pPr>
            <w:r>
              <w:rPr>
                <w:szCs w:val="21"/>
                <w:lang w:eastAsia="zh-CN"/>
              </w:rPr>
              <w:t>在设备开箱验收前提供</w:t>
            </w:r>
            <w:r>
              <w:rPr>
                <w:rFonts w:hint="eastAsia"/>
                <w:szCs w:val="21"/>
                <w:lang w:eastAsia="zh-CN"/>
              </w:rPr>
              <w:t>合同文件及订单。</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eastAsia="zh-CN"/>
              </w:rPr>
            </w:pPr>
            <w:r>
              <w:rPr>
                <w:szCs w:val="21"/>
                <w:lang w:eastAsia="zh-CN"/>
              </w:rPr>
              <w:t>在设备开箱验收前提供</w:t>
            </w:r>
            <w:r>
              <w:rPr>
                <w:rFonts w:hint="eastAsia"/>
                <w:szCs w:val="21"/>
                <w:lang w:eastAsia="zh-CN"/>
              </w:rPr>
              <w:t>卖方发运清单及相关检验报告。</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eastAsia="zh-CN"/>
              </w:rPr>
            </w:pPr>
            <w:r>
              <w:rPr>
                <w:rFonts w:hint="eastAsia"/>
                <w:szCs w:val="21"/>
                <w:lang w:eastAsia="zh-CN"/>
              </w:rPr>
              <w:t>在设备开箱验收前提供系统功能配置清单及说明，包含各组件名称、编号、型号、规格、品牌、材质等。</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eastAsia="zh-CN"/>
              </w:rPr>
            </w:pPr>
            <w:r>
              <w:rPr>
                <w:szCs w:val="21"/>
                <w:lang w:eastAsia="zh-CN"/>
              </w:rPr>
              <w:t>在设备开箱验收前提供</w:t>
            </w:r>
            <w:r>
              <w:rPr>
                <w:rFonts w:hint="eastAsia"/>
                <w:szCs w:val="21"/>
                <w:lang w:eastAsia="zh-CN"/>
              </w:rPr>
              <w:t>系统选型文件，包括设备标准技术文件、功能说明、软硬件配置清单与说明</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eastAsia="zh-CN"/>
              </w:rPr>
            </w:pPr>
            <w:r>
              <w:rPr>
                <w:rFonts w:hint="eastAsia"/>
                <w:szCs w:val="21"/>
                <w:lang w:eastAsia="zh-CN"/>
              </w:rPr>
              <w:t>不晚于IQ开始前提供图纸：实物图；各种确认、维修等活动所需的电子版及打印版图纸（若适用</w:t>
            </w:r>
            <w:r>
              <w:rPr>
                <w:szCs w:val="21"/>
                <w:lang w:eastAsia="zh-CN"/>
              </w:rPr>
              <w:t>P&amp;ID</w:t>
            </w:r>
            <w:r>
              <w:rPr>
                <w:rFonts w:hint="eastAsia"/>
                <w:szCs w:val="21"/>
                <w:lang w:eastAsia="zh-CN"/>
              </w:rPr>
              <w:t>图、尺寸图、安装图、控制原理图、电气原理图、控制盘面仪表、开关配置图等线图）；注释参考等；图纸清单</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eastAsia="zh-CN"/>
              </w:rPr>
            </w:pPr>
            <w:r>
              <w:rPr>
                <w:rFonts w:hint="eastAsia"/>
                <w:szCs w:val="21"/>
                <w:lang w:eastAsia="zh-CN"/>
              </w:rPr>
              <w:t>不晚于IQ开始前提必要的厂家文件，包括：出厂测试合格证、各关键组件说明书、相关检测报告、相关材质报告及合格证、必要的相关证书各种标示等。</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eastAsia="zh-CN"/>
              </w:rPr>
            </w:pPr>
            <w:r>
              <w:rPr>
                <w:rFonts w:hint="eastAsia"/>
                <w:szCs w:val="21"/>
                <w:lang w:val="en-US" w:eastAsia="zh-CN"/>
              </w:rPr>
              <w:t>设备开箱验收时提供设备操作手册（SOP）：语言为中文，应说明校准周期，并能提供校准服务。</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val="en-US" w:eastAsia="zh-CN"/>
              </w:rPr>
            </w:pPr>
            <w:r>
              <w:rPr>
                <w:rFonts w:hint="eastAsia"/>
                <w:szCs w:val="21"/>
                <w:lang w:eastAsia="zh-CN"/>
              </w:rPr>
              <w:t>不晚于IQ开始前提供称重系统和推车的出厂测试合格证。</w:t>
            </w:r>
            <w:r>
              <w:rPr>
                <w:rFonts w:hint="eastAsia"/>
                <w:szCs w:val="21"/>
                <w:lang w:val="en-US" w:eastAsia="zh-CN"/>
              </w:rPr>
              <w:t>并提供称重系统的校验证书。</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eastAsia="zh-CN"/>
              </w:rPr>
            </w:pPr>
            <w:r>
              <w:rPr>
                <w:rFonts w:hint="eastAsia"/>
                <w:szCs w:val="21"/>
                <w:lang w:eastAsia="zh-CN"/>
              </w:rPr>
              <w:t>设备开箱验收前提供安全报告。</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eastAsia="zh-CN"/>
              </w:rPr>
            </w:pPr>
            <w:r>
              <w:rPr>
                <w:rFonts w:hint="eastAsia"/>
                <w:szCs w:val="21"/>
                <w:lang w:eastAsia="zh-CN"/>
              </w:rPr>
              <w:t>提供产品说明书（含操作维护使用说明，功能说明）。</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eastAsia="zh-CN"/>
              </w:rPr>
            </w:pPr>
            <w:r>
              <w:rPr>
                <w:rFonts w:hint="eastAsia"/>
                <w:szCs w:val="21"/>
                <w:lang w:eastAsia="zh-CN"/>
              </w:rPr>
              <w:t>设备开箱验收前提供材质证书（写明材料有效期）</w:t>
            </w:r>
          </w:p>
        </w:tc>
        <w:tc>
          <w:tcPr>
            <w:tcW w:w="2082" w:type="dxa"/>
            <w:shd w:val="clear" w:color="auto" w:fill="auto"/>
            <w:vAlign w:val="center"/>
          </w:tcPr>
          <w:p>
            <w:pPr>
              <w:jc w:val="both"/>
              <w:rPr>
                <w:szCs w:val="21"/>
                <w:lang w:eastAsia="zh-CN"/>
              </w:rPr>
            </w:pPr>
            <w:r>
              <w:rPr>
                <w:rFonts w:hint="eastAsia"/>
                <w:szCs w:val="21"/>
                <w:lang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36" w:edGrp="everyone"/>
          </w:p>
        </w:tc>
        <w:tc>
          <w:tcPr>
            <w:tcW w:w="6970" w:type="dxa"/>
            <w:shd w:val="clear" w:color="auto" w:fill="auto"/>
            <w:vAlign w:val="center"/>
          </w:tcPr>
          <w:p>
            <w:pPr>
              <w:jc w:val="both"/>
              <w:rPr>
                <w:szCs w:val="21"/>
                <w:lang w:eastAsia="zh-CN"/>
              </w:rPr>
            </w:pPr>
            <w:r>
              <w:rPr>
                <w:rFonts w:hint="eastAsia"/>
                <w:szCs w:val="21"/>
                <w:lang w:eastAsia="zh-CN"/>
              </w:rPr>
              <w:t>不晚于IQ开始前提供发运清单：配件清单、易损件清单、备件、消耗品清单（包括名称、编号、对应厂家名称、生产地、规格及必要说明。）</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eastAsia="zh-CN"/>
              </w:rPr>
            </w:pPr>
            <w:r>
              <w:rPr>
                <w:rFonts w:hint="eastAsia"/>
                <w:szCs w:val="21"/>
                <w:lang w:eastAsia="zh-CN"/>
              </w:rPr>
              <w:t>图纸：实物图；维修等活动所需的电子版及打印版系统布局图、设备尺寸图、设备局部图（与工艺、功能相关的细节图）</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rPr>
                <w:szCs w:val="21"/>
                <w:lang w:eastAsia="zh-CN"/>
              </w:rPr>
            </w:pPr>
            <w:r>
              <w:rPr>
                <w:rFonts w:hint="eastAsia"/>
                <w:szCs w:val="21"/>
                <w:lang w:eastAsia="zh-CN"/>
              </w:rPr>
              <w:t>条款规定的文件需提供电子版，并在设备开箱验收时将最终批准的电子版及纸质版全套资料交工程技术部存档。</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val="en-US" w:eastAsia="zh-CN"/>
              </w:rPr>
            </w:pPr>
            <w:r>
              <w:rPr>
                <w:rFonts w:hint="eastAsia"/>
                <w:szCs w:val="21"/>
                <w:lang w:val="en-US" w:eastAsia="zh-CN"/>
              </w:rPr>
              <w:t>验证文件：</w:t>
            </w:r>
          </w:p>
          <w:p>
            <w:pPr>
              <w:numPr>
                <w:ilvl w:val="0"/>
                <w:numId w:val="11"/>
              </w:numPr>
              <w:jc w:val="both"/>
              <w:rPr>
                <w:szCs w:val="21"/>
                <w:lang w:val="en-US" w:eastAsia="zh-CN"/>
              </w:rPr>
            </w:pPr>
            <w:r>
              <w:rPr>
                <w:szCs w:val="21"/>
                <w:lang w:val="en-US" w:eastAsia="zh-CN"/>
              </w:rPr>
              <w:t>安装确认及文件（IQ）</w:t>
            </w:r>
            <w:r>
              <w:rPr>
                <w:rFonts w:hint="eastAsia"/>
                <w:szCs w:val="21"/>
                <w:lang w:val="en-US" w:eastAsia="zh-CN"/>
              </w:rPr>
              <w:t>。提交时限：OQ开始前完成审批并提交</w:t>
            </w:r>
          </w:p>
          <w:p>
            <w:pPr>
              <w:numPr>
                <w:ilvl w:val="0"/>
                <w:numId w:val="11"/>
              </w:numPr>
              <w:jc w:val="both"/>
              <w:rPr>
                <w:szCs w:val="21"/>
                <w:lang w:val="en-US" w:eastAsia="zh-CN"/>
              </w:rPr>
            </w:pPr>
            <w:r>
              <w:rPr>
                <w:szCs w:val="21"/>
                <w:lang w:val="en-US" w:eastAsia="zh-CN"/>
              </w:rPr>
              <w:t>运行确认及文件（OQ）</w:t>
            </w:r>
            <w:r>
              <w:rPr>
                <w:rFonts w:hint="eastAsia"/>
                <w:szCs w:val="21"/>
                <w:lang w:val="en-US" w:eastAsia="zh-CN"/>
              </w:rPr>
              <w:t>。提交时限：IQ批准后开始执行</w:t>
            </w:r>
          </w:p>
          <w:p>
            <w:pPr>
              <w:numPr>
                <w:ilvl w:val="0"/>
                <w:numId w:val="11"/>
              </w:numPr>
              <w:jc w:val="both"/>
              <w:rPr>
                <w:szCs w:val="21"/>
                <w:lang w:val="en-US" w:eastAsia="zh-CN"/>
              </w:rPr>
            </w:pPr>
            <w:r>
              <w:rPr>
                <w:rFonts w:hint="eastAsia"/>
                <w:szCs w:val="21"/>
                <w:lang w:val="en-US" w:eastAsia="zh-CN"/>
              </w:rPr>
              <w:t>性能确认及文件（PQ）。提交时限：</w:t>
            </w:r>
            <w:r>
              <w:rPr>
                <w:szCs w:val="21"/>
                <w:lang w:val="en-US" w:eastAsia="zh-CN"/>
              </w:rPr>
              <w:t>O</w:t>
            </w:r>
            <w:r>
              <w:rPr>
                <w:rFonts w:hint="eastAsia"/>
                <w:szCs w:val="21"/>
                <w:lang w:val="en-US" w:eastAsia="zh-CN"/>
              </w:rPr>
              <w:t>Q批准后开始执行</w:t>
            </w:r>
          </w:p>
          <w:p>
            <w:pPr>
              <w:numPr>
                <w:ilvl w:val="0"/>
                <w:numId w:val="11"/>
              </w:numPr>
              <w:jc w:val="both"/>
              <w:rPr>
                <w:szCs w:val="21"/>
                <w:lang w:val="en-US" w:eastAsia="zh-CN"/>
              </w:rPr>
            </w:pPr>
            <w:r>
              <w:rPr>
                <w:szCs w:val="21"/>
                <w:lang w:val="en-US" w:eastAsia="zh-CN"/>
              </w:rPr>
              <w:t>设备生产商负责制定设备验证计划、评估文件、IQ/OQ/PQ验证文件、追溯矩阵、验证总结报告，并负责验证工作的实施，该验证文件作为设备必备文件</w:t>
            </w:r>
            <w:r>
              <w:rPr>
                <w:rFonts w:hint="eastAsia"/>
                <w:szCs w:val="21"/>
                <w:lang w:val="en-US" w:eastAsia="zh-CN"/>
              </w:rPr>
              <w:t>。</w:t>
            </w:r>
          </w:p>
          <w:p>
            <w:pPr>
              <w:rPr>
                <w:szCs w:val="21"/>
                <w:lang w:val="en-US" w:eastAsia="zh-CN"/>
              </w:rPr>
            </w:pPr>
            <w:r>
              <w:rPr>
                <w:rFonts w:hint="eastAsia"/>
                <w:szCs w:val="21"/>
                <w:lang w:val="en-US" w:eastAsia="zh-CN"/>
              </w:rPr>
              <w:t>验证总结报告（VSR）。提交时限：</w:t>
            </w:r>
            <w:r>
              <w:rPr>
                <w:szCs w:val="21"/>
                <w:lang w:val="en-US" w:eastAsia="zh-CN"/>
              </w:rPr>
              <w:t>PQ完成后开始起草，最终验收前提交</w:t>
            </w:r>
            <w:r>
              <w:rPr>
                <w:rFonts w:hint="eastAsia"/>
                <w:szCs w:val="21"/>
                <w:lang w:val="en-US" w:eastAsia="zh-CN"/>
              </w:rPr>
              <w:t>。</w:t>
            </w:r>
          </w:p>
          <w:p>
            <w:pPr>
              <w:rPr>
                <w:szCs w:val="21"/>
                <w:lang w:eastAsia="zh-CN"/>
              </w:rPr>
            </w:pPr>
            <w:r>
              <w:rPr>
                <w:rFonts w:hint="eastAsia"/>
                <w:szCs w:val="21"/>
                <w:lang w:val="en-US" w:eastAsia="zh-CN"/>
              </w:rPr>
              <w:t>以上验证项目除包括称重系统外，还应包括肠道病毒疫苗室的磁力搅拌系统。</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val="en-US" w:eastAsia="zh-CN"/>
              </w:rPr>
            </w:pPr>
            <w:r>
              <w:rPr>
                <w:rFonts w:hint="eastAsia"/>
                <w:color w:val="000000"/>
                <w:szCs w:val="21"/>
                <w:lang w:eastAsia="zh-CN"/>
              </w:rPr>
              <w:t>设备开箱验收前提供设备交付计划表。设备验收时提供设备及其零部件使用寿命清单。</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color w:val="000000"/>
                <w:szCs w:val="21"/>
                <w:lang w:eastAsia="zh-CN"/>
              </w:rPr>
            </w:pPr>
            <w:r>
              <w:rPr>
                <w:rFonts w:hint="eastAsia"/>
                <w:color w:val="000000"/>
                <w:szCs w:val="21"/>
                <w:lang w:eastAsia="zh-CN"/>
              </w:rPr>
              <w:t>设备开箱验收时提供使用操作说明书及维护保养说明（即运行及维护手册）</w:t>
            </w:r>
            <w:r>
              <w:rPr>
                <w:color w:val="000000"/>
                <w:szCs w:val="21"/>
                <w:lang w:eastAsia="zh-CN"/>
              </w:rPr>
              <w:t>3</w:t>
            </w:r>
            <w:r>
              <w:rPr>
                <w:rFonts w:hint="eastAsia"/>
                <w:color w:val="000000"/>
                <w:szCs w:val="21"/>
                <w:lang w:eastAsia="zh-CN"/>
              </w:rPr>
              <w:t>份。</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color w:val="000000"/>
                <w:szCs w:val="21"/>
                <w:lang w:eastAsia="zh-CN"/>
              </w:rPr>
            </w:pPr>
            <w:r>
              <w:rPr>
                <w:rFonts w:hint="eastAsia"/>
                <w:color w:val="000000"/>
                <w:szCs w:val="21"/>
                <w:lang w:val="en-US" w:eastAsia="zh-CN"/>
              </w:rPr>
              <w:t>设备开箱验收时提供针对每一部件所作序号的简明图册，以便于维修人员查找和辨识。以及所有组件的品牌、材质、型号，并且注明每一个组件的保修期。</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color w:val="000000"/>
                <w:szCs w:val="21"/>
                <w:lang w:val="en-US" w:eastAsia="zh-CN"/>
              </w:rPr>
            </w:pPr>
            <w:r>
              <w:rPr>
                <w:rFonts w:hint="eastAsia"/>
                <w:szCs w:val="21"/>
                <w:lang w:val="en-US" w:eastAsia="zh-CN"/>
              </w:rPr>
              <w:t>不晚于IQ开始前提供满足GEP要求的项目文件交付包。</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pStyle w:val="31"/>
              <w:numPr>
                <w:ilvl w:val="0"/>
                <w:numId w:val="12"/>
              </w:numPr>
              <w:ind w:firstLineChars="0"/>
              <w:rPr>
                <w:color w:val="000000"/>
                <w:szCs w:val="21"/>
              </w:rPr>
            </w:pPr>
            <w:r>
              <w:rPr>
                <w:rFonts w:hint="eastAsia"/>
                <w:color w:val="000000"/>
                <w:szCs w:val="21"/>
              </w:rPr>
              <w:t>上述条款规定的文件需提供电子版，并在设备开箱验收时将最终批准的电子版及纸质版全套资料交工程技术部存档。</w:t>
            </w:r>
          </w:p>
          <w:p>
            <w:pPr>
              <w:pStyle w:val="31"/>
              <w:numPr>
                <w:ilvl w:val="0"/>
                <w:numId w:val="12"/>
              </w:numPr>
              <w:ind w:firstLineChars="0"/>
              <w:rPr>
                <w:color w:val="000000"/>
                <w:szCs w:val="21"/>
              </w:rPr>
            </w:pPr>
            <w:r>
              <w:rPr>
                <w:rFonts w:hint="eastAsia"/>
                <w:szCs w:val="21"/>
              </w:rPr>
              <w:t>设备开箱验收时提供项目质量计划。</w:t>
            </w:r>
          </w:p>
        </w:tc>
        <w:tc>
          <w:tcPr>
            <w:tcW w:w="2082" w:type="dxa"/>
            <w:shd w:val="clear" w:color="auto" w:fill="auto"/>
            <w:vAlign w:val="center"/>
          </w:tcPr>
          <w:p>
            <w:pPr>
              <w:jc w:val="both"/>
              <w:rPr>
                <w:szCs w:val="21"/>
                <w:lang w:eastAsia="zh-CN"/>
              </w:rPr>
            </w:pPr>
            <w:r>
              <w:rPr>
                <w:rFonts w:hint="eastAsia"/>
                <w:szCs w:val="21"/>
                <w:lang w:eastAsia="zh-CN"/>
              </w:rPr>
              <w:t>关键</w:t>
            </w:r>
          </w:p>
        </w:tc>
      </w:tr>
      <w:permEnd w:id="36"/>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4" w:name="_Toc522716125"/>
      <w:r>
        <w:rPr>
          <w:rFonts w:ascii="Times New Roman" w:hAnsi="Times New Roman"/>
          <w:b/>
          <w:szCs w:val="21"/>
        </w:rPr>
        <w:t>服务要求</w:t>
      </w:r>
      <w:bookmarkEnd w:id="44"/>
    </w:p>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52"/>
        <w:gridCol w:w="1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permStart w:id="37" w:edGrp="everyone"/>
            <w:permEnd w:id="37"/>
            <w:r>
              <w:rPr>
                <w:b/>
                <w:szCs w:val="21"/>
              </w:rPr>
              <w:t>编号</w:t>
            </w:r>
          </w:p>
        </w:tc>
        <w:tc>
          <w:tcPr>
            <w:tcW w:w="6970" w:type="dxa"/>
            <w:gridSpan w:val="2"/>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13"/>
              </w:numPr>
              <w:ind w:firstLineChars="0"/>
              <w:rPr>
                <w:rFonts w:ascii="Times New Roman" w:hAnsi="Times New Roman"/>
                <w:szCs w:val="21"/>
              </w:rPr>
            </w:pPr>
          </w:p>
        </w:tc>
        <w:tc>
          <w:tcPr>
            <w:tcW w:w="9052" w:type="dxa"/>
            <w:gridSpan w:val="3"/>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38" w:edGrp="everyone"/>
          </w:p>
        </w:tc>
        <w:tc>
          <w:tcPr>
            <w:tcW w:w="6970" w:type="dxa"/>
            <w:gridSpan w:val="2"/>
            <w:shd w:val="clear" w:color="auto" w:fill="auto"/>
            <w:vAlign w:val="center"/>
          </w:tcPr>
          <w:p>
            <w:pPr>
              <w:spacing w:line="276" w:lineRule="auto"/>
              <w:jc w:val="both"/>
              <w:rPr>
                <w:szCs w:val="21"/>
                <w:lang w:eastAsia="zh-CN"/>
              </w:rPr>
            </w:pPr>
            <w:r>
              <w:rPr>
                <w:lang w:eastAsia="zh-CN"/>
              </w:rPr>
              <w:t>设备供应商应免费对设备使用方人员进行全面培训，包括对生产操作人员及设备维护、维修人员，并填写培训记录。</w:t>
            </w:r>
          </w:p>
        </w:tc>
        <w:tc>
          <w:tcPr>
            <w:tcW w:w="2082" w:type="dxa"/>
            <w:shd w:val="clear" w:color="auto" w:fill="auto"/>
            <w:vAlign w:val="center"/>
          </w:tcPr>
          <w:p>
            <w:pPr>
              <w:jc w:val="both"/>
              <w:rPr>
                <w:szCs w:val="21"/>
                <w:lang w:eastAsia="zh-CN"/>
              </w:rPr>
            </w:pPr>
            <w:r>
              <w:rPr>
                <w:rFonts w:hint="eastAsia"/>
                <w:szCs w:val="21"/>
                <w:lang w:eastAsia="zh-CN"/>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39" w:edGrp="everyone"/>
          </w:p>
        </w:tc>
        <w:tc>
          <w:tcPr>
            <w:tcW w:w="6970" w:type="dxa"/>
            <w:gridSpan w:val="2"/>
            <w:shd w:val="clear" w:color="auto" w:fill="auto"/>
            <w:vAlign w:val="center"/>
          </w:tcPr>
          <w:p>
            <w:pPr>
              <w:pStyle w:val="31"/>
              <w:numPr>
                <w:ilvl w:val="0"/>
                <w:numId w:val="14"/>
              </w:numPr>
              <w:spacing w:line="276" w:lineRule="auto"/>
              <w:ind w:firstLineChars="0"/>
            </w:pPr>
            <w:r>
              <w:t>生产操作人员培训包括设备结构原理、性能、操作、清洗消毒、故障排除等基本</w:t>
            </w:r>
            <w:r>
              <w:rPr>
                <w:szCs w:val="21"/>
              </w:rPr>
              <w:t>知识</w:t>
            </w:r>
            <w:r>
              <w:t>。合格标准为用户参加培训人员能够独立正确操作设备，会排除常见故障。</w:t>
            </w:r>
          </w:p>
          <w:p>
            <w:pPr>
              <w:pStyle w:val="31"/>
              <w:numPr>
                <w:ilvl w:val="0"/>
                <w:numId w:val="14"/>
              </w:numPr>
              <w:spacing w:line="276" w:lineRule="auto"/>
              <w:ind w:firstLineChars="0"/>
              <w:rPr>
                <w:szCs w:val="21"/>
              </w:rPr>
            </w:pPr>
            <w: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082" w:type="dxa"/>
            <w:shd w:val="clear" w:color="auto" w:fill="auto"/>
            <w:vAlign w:val="center"/>
          </w:tcPr>
          <w:p>
            <w:pPr>
              <w:jc w:val="both"/>
              <w:rPr>
                <w:szCs w:val="21"/>
                <w:lang w:eastAsia="zh-CN"/>
              </w:rPr>
            </w:pPr>
            <w:r>
              <w:rPr>
                <w:rFonts w:hint="eastAsia"/>
                <w:szCs w:val="21"/>
                <w:lang w:eastAsia="zh-CN"/>
              </w:rPr>
              <w:t>关键</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13"/>
              </w:numPr>
              <w:ind w:firstLineChars="0"/>
              <w:rPr>
                <w:rFonts w:ascii="Times New Roman" w:hAnsi="Times New Roman"/>
                <w:szCs w:val="21"/>
              </w:rPr>
            </w:pPr>
          </w:p>
        </w:tc>
        <w:tc>
          <w:tcPr>
            <w:tcW w:w="9052" w:type="dxa"/>
            <w:gridSpan w:val="3"/>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40" w:edGrp="everyone"/>
          </w:p>
        </w:tc>
        <w:tc>
          <w:tcPr>
            <w:tcW w:w="6970" w:type="dxa"/>
            <w:gridSpan w:val="2"/>
            <w:shd w:val="clear" w:color="auto" w:fill="auto"/>
            <w:vAlign w:val="center"/>
          </w:tcPr>
          <w:p>
            <w:pPr>
              <w:spacing w:line="276" w:lineRule="auto"/>
              <w:jc w:val="both"/>
              <w:rPr>
                <w:szCs w:val="21"/>
                <w:lang w:eastAsia="zh-CN"/>
              </w:rPr>
            </w:pPr>
            <w:r>
              <w:rPr>
                <w:lang w:eastAsia="zh-CN"/>
              </w:rPr>
              <w:t>设备运输在运输途中需做好防护措施，不得有任何损伤。</w:t>
            </w:r>
          </w:p>
        </w:tc>
        <w:tc>
          <w:tcPr>
            <w:tcW w:w="2082" w:type="dxa"/>
            <w:shd w:val="clear" w:color="auto" w:fill="auto"/>
            <w:vAlign w:val="center"/>
          </w:tcPr>
          <w:p>
            <w:pPr>
              <w:jc w:val="both"/>
              <w:rPr>
                <w:szCs w:val="21"/>
                <w:lang w:eastAsia="zh-CN"/>
              </w:rPr>
            </w:pPr>
            <w:r>
              <w:rPr>
                <w:rFonts w:hint="eastAsia"/>
                <w:szCs w:val="21"/>
                <w:lang w:eastAsia="zh-CN"/>
              </w:rPr>
              <w:t>关键</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13"/>
              </w:numPr>
              <w:ind w:firstLineChars="0"/>
              <w:rPr>
                <w:rFonts w:ascii="Times New Roman" w:hAnsi="Times New Roman"/>
                <w:szCs w:val="21"/>
              </w:rPr>
            </w:pPr>
          </w:p>
        </w:tc>
        <w:tc>
          <w:tcPr>
            <w:tcW w:w="9052" w:type="dxa"/>
            <w:gridSpan w:val="3"/>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8D8D8" w:themeFill="background1" w:themeFillShade="D9"/>
            <w:vAlign w:val="center"/>
          </w:tcPr>
          <w:p>
            <w:pPr>
              <w:ind w:left="426"/>
              <w:rPr>
                <w:szCs w:val="21"/>
                <w:lang w:eastAsia="zh-CN"/>
              </w:rPr>
            </w:pPr>
            <w:permStart w:id="41" w:edGrp="everyone"/>
            <w:r>
              <w:rPr>
                <w:szCs w:val="21"/>
                <w:lang w:eastAsia="zh-CN"/>
              </w:rPr>
              <w:t>URS</w:t>
            </w:r>
            <w:r>
              <w:rPr>
                <w:rFonts w:hint="eastAsia"/>
                <w:szCs w:val="21"/>
                <w:lang w:eastAsia="zh-CN"/>
              </w:rPr>
              <w:t>5</w:t>
            </w:r>
            <w:r>
              <w:rPr>
                <w:szCs w:val="21"/>
                <w:lang w:eastAsia="zh-CN"/>
              </w:rPr>
              <w:t>4</w:t>
            </w:r>
          </w:p>
        </w:tc>
        <w:tc>
          <w:tcPr>
            <w:tcW w:w="6952" w:type="dxa"/>
            <w:shd w:val="clear" w:color="auto" w:fill="auto"/>
            <w:vAlign w:val="center"/>
          </w:tcPr>
          <w:p>
            <w:pPr>
              <w:jc w:val="both"/>
              <w:rPr>
                <w:rFonts w:ascii="宋体" w:hAnsi="宋体"/>
                <w:color w:val="000000"/>
                <w:lang w:eastAsia="zh-CN"/>
              </w:rPr>
            </w:pPr>
            <w:r>
              <w:rPr>
                <w:rFonts w:hint="eastAsia" w:ascii="宋体" w:hAnsi="宋体"/>
                <w:color w:val="000000"/>
                <w:lang w:eastAsia="zh-CN"/>
              </w:rPr>
              <w:t>1、验证包括计划、系统评估、风险评估</w:t>
            </w:r>
            <w:r>
              <w:rPr>
                <w:rFonts w:hint="eastAsia" w:ascii="宋体" w:hAnsi="宋体"/>
                <w:lang w:eastAsia="zh-CN"/>
              </w:rPr>
              <w:t>、DQ、SAT、IQ、OQ、RTM、VSR文</w:t>
            </w:r>
            <w:r>
              <w:rPr>
                <w:rFonts w:hint="eastAsia" w:ascii="宋体" w:hAnsi="宋体"/>
                <w:color w:val="000000"/>
                <w:lang w:eastAsia="zh-CN"/>
              </w:rPr>
              <w:t>件与服务，供应商必须派出具备该类系统验证经验，且熟悉验证相关文件编写及验证工作实施的验证工程师开展验证工作。</w:t>
            </w:r>
          </w:p>
          <w:p>
            <w:pPr>
              <w:jc w:val="both"/>
              <w:rPr>
                <w:rFonts w:ascii="宋体" w:hAnsi="宋体"/>
                <w:color w:val="000000"/>
                <w:lang w:eastAsia="zh-CN"/>
              </w:rPr>
            </w:pPr>
            <w:r>
              <w:rPr>
                <w:rFonts w:ascii="宋体" w:hAnsi="宋体"/>
                <w:color w:val="000000"/>
                <w:lang w:eastAsia="zh-CN"/>
              </w:rPr>
              <w:t>2</w:t>
            </w:r>
            <w:r>
              <w:rPr>
                <w:rFonts w:hint="eastAsia" w:ascii="宋体" w:hAnsi="宋体"/>
                <w:color w:val="000000"/>
                <w:lang w:eastAsia="zh-CN"/>
              </w:rPr>
              <w:t>、投标方按GMP规范完成IQ、OQ、PQ工作，并提供相应文件（文件必须无条件符合我所QA要求）。各验证工作开始前验证方案需经过本公司相关部门审核，并经质量保证部批准。</w:t>
            </w:r>
          </w:p>
          <w:p>
            <w:pPr>
              <w:jc w:val="both"/>
              <w:rPr>
                <w:rFonts w:ascii="宋体" w:hAnsi="宋体"/>
                <w:color w:val="000000"/>
                <w:lang w:eastAsia="zh-CN"/>
              </w:rPr>
            </w:pPr>
            <w:r>
              <w:rPr>
                <w:rFonts w:hint="eastAsia" w:ascii="宋体" w:hAnsi="宋体"/>
                <w:color w:val="000000"/>
                <w:lang w:eastAsia="zh-CN"/>
              </w:rPr>
              <w:t>3、验证工作应按时保质完成，供应商需提供验证工作计划表。</w:t>
            </w:r>
          </w:p>
          <w:p>
            <w:pPr>
              <w:jc w:val="both"/>
              <w:rPr>
                <w:rFonts w:ascii="宋体" w:hAnsi="宋体"/>
                <w:color w:val="000000"/>
                <w:lang w:eastAsia="zh-CN"/>
              </w:rPr>
            </w:pPr>
            <w:r>
              <w:rPr>
                <w:rFonts w:hint="eastAsia" w:ascii="宋体" w:hAnsi="宋体"/>
                <w:color w:val="000000"/>
                <w:lang w:eastAsia="zh-CN"/>
              </w:rPr>
              <w:t>4、验证项目应包含法规要求的测试项目，以及本公司提出的测试项目，如称重系统称重效果和搅拌系统转速等。</w:t>
            </w:r>
          </w:p>
          <w:p>
            <w:pPr>
              <w:jc w:val="both"/>
              <w:rPr>
                <w:rFonts w:ascii="宋体" w:hAnsi="宋体"/>
                <w:color w:val="000000"/>
                <w:lang w:eastAsia="zh-CN"/>
              </w:rPr>
            </w:pPr>
            <w:r>
              <w:rPr>
                <w:rFonts w:hint="eastAsia" w:ascii="宋体" w:hAnsi="宋体"/>
                <w:color w:val="000000"/>
                <w:lang w:eastAsia="zh-CN"/>
              </w:rPr>
              <w:t>5、验证工作完成后，验证记录经本公司相关部门审核，并经质量保证部批准。</w:t>
            </w:r>
          </w:p>
          <w:p>
            <w:pPr>
              <w:jc w:val="both"/>
              <w:rPr>
                <w:szCs w:val="21"/>
                <w:lang w:eastAsia="zh-CN"/>
              </w:rPr>
            </w:pPr>
            <w:r>
              <w:rPr>
                <w:rFonts w:hint="eastAsia" w:ascii="宋体" w:hAnsi="宋体"/>
                <w:color w:val="000000"/>
                <w:lang w:eastAsia="zh-CN"/>
              </w:rPr>
              <w:t>6、验收前，验证工作已成功完成，验证最终报告已经本公司相关部门审核，并经质量保证部批准。</w:t>
            </w:r>
          </w:p>
        </w:tc>
        <w:tc>
          <w:tcPr>
            <w:tcW w:w="2100" w:type="dxa"/>
            <w:gridSpan w:val="2"/>
            <w:shd w:val="clear" w:color="auto" w:fill="auto"/>
            <w:vAlign w:val="center"/>
          </w:tcPr>
          <w:p>
            <w:pPr>
              <w:jc w:val="both"/>
              <w:rPr>
                <w:szCs w:val="21"/>
                <w:lang w:eastAsia="zh-CN"/>
              </w:rPr>
            </w:pPr>
            <w:r>
              <w:rPr>
                <w:rFonts w:hint="eastAsia"/>
                <w:szCs w:val="21"/>
                <w:lang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13"/>
              </w:numPr>
              <w:ind w:firstLineChars="0"/>
              <w:rPr>
                <w:rFonts w:ascii="Times New Roman" w:hAnsi="Times New Roman"/>
                <w:szCs w:val="21"/>
              </w:rPr>
            </w:pPr>
          </w:p>
        </w:tc>
        <w:tc>
          <w:tcPr>
            <w:tcW w:w="9052" w:type="dxa"/>
            <w:gridSpan w:val="3"/>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jc w:val="right"/>
              <w:rPr>
                <w:szCs w:val="21"/>
              </w:rPr>
            </w:pPr>
            <w:permStart w:id="42" w:edGrp="everyone"/>
            <w:r>
              <w:rPr>
                <w:rFonts w:hint="eastAsia"/>
                <w:szCs w:val="21"/>
              </w:rPr>
              <w:t>U</w:t>
            </w:r>
            <w:r>
              <w:rPr>
                <w:szCs w:val="21"/>
              </w:rPr>
              <w:t>RS 55</w:t>
            </w:r>
          </w:p>
        </w:tc>
        <w:tc>
          <w:tcPr>
            <w:tcW w:w="6970" w:type="dxa"/>
            <w:gridSpan w:val="2"/>
            <w:shd w:val="clear" w:color="auto" w:fill="auto"/>
            <w:vAlign w:val="center"/>
          </w:tcPr>
          <w:p>
            <w:pPr>
              <w:spacing w:line="276" w:lineRule="auto"/>
              <w:jc w:val="both"/>
              <w:rPr>
                <w:szCs w:val="21"/>
                <w:lang w:eastAsia="zh-CN"/>
              </w:rPr>
            </w:pPr>
            <w:r>
              <w:rPr>
                <w:rFonts w:hint="eastAsia" w:ascii="宋体" w:hAnsi="宋体"/>
                <w:lang w:eastAsia="zh-CN"/>
              </w:rPr>
              <w:t>设备保质期从确认验收的阶段就开始计算。</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jc w:val="right"/>
              <w:rPr>
                <w:szCs w:val="21"/>
              </w:rPr>
            </w:pPr>
            <w:r>
              <w:rPr>
                <w:szCs w:val="21"/>
              </w:rPr>
              <w:t>URS 56</w:t>
            </w:r>
          </w:p>
        </w:tc>
        <w:tc>
          <w:tcPr>
            <w:tcW w:w="6970" w:type="dxa"/>
            <w:gridSpan w:val="2"/>
            <w:shd w:val="clear" w:color="auto" w:fill="auto"/>
            <w:vAlign w:val="center"/>
          </w:tcPr>
          <w:p>
            <w:pPr>
              <w:spacing w:line="276" w:lineRule="auto"/>
              <w:jc w:val="both"/>
              <w:rPr>
                <w:rFonts w:ascii="宋体" w:hAnsi="宋体"/>
                <w:lang w:eastAsia="zh-CN"/>
              </w:rPr>
            </w:pPr>
            <w:r>
              <w:rPr>
                <w:rFonts w:hint="eastAsia" w:ascii="宋体" w:hAnsi="宋体"/>
                <w:lang w:eastAsia="zh-CN"/>
              </w:rPr>
              <w:t>备质保期为一年，一年内免费保修，一年后应提供良好的售后服务。</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jc w:val="right"/>
              <w:rPr>
                <w:szCs w:val="21"/>
              </w:rPr>
            </w:pPr>
            <w:r>
              <w:rPr>
                <w:szCs w:val="21"/>
              </w:rPr>
              <w:t>URS 57</w:t>
            </w:r>
          </w:p>
        </w:tc>
        <w:tc>
          <w:tcPr>
            <w:tcW w:w="6970" w:type="dxa"/>
            <w:gridSpan w:val="2"/>
            <w:shd w:val="clear" w:color="auto" w:fill="auto"/>
            <w:vAlign w:val="center"/>
          </w:tcPr>
          <w:p>
            <w:pPr>
              <w:spacing w:line="276" w:lineRule="auto"/>
              <w:jc w:val="both"/>
              <w:rPr>
                <w:rFonts w:ascii="宋体" w:hAnsi="宋体"/>
                <w:lang w:eastAsia="zh-CN"/>
              </w:rPr>
            </w:pPr>
            <w:r>
              <w:rPr>
                <w:rFonts w:hint="eastAsia" w:ascii="宋体" w:hAnsi="宋体"/>
                <w:lang w:eastAsia="zh-CN"/>
              </w:rPr>
              <w:t>售后服务必须响应及时，要求设备出现须厂家维修的故障后，应在</w:t>
            </w:r>
            <w:r>
              <w:rPr>
                <w:rFonts w:ascii="宋体" w:hAnsi="宋体"/>
                <w:lang w:eastAsia="zh-CN"/>
              </w:rPr>
              <w:t>4</w:t>
            </w:r>
            <w:r>
              <w:rPr>
                <w:rFonts w:hint="eastAsia" w:ascii="宋体" w:hAnsi="宋体"/>
                <w:lang w:eastAsia="zh-CN"/>
              </w:rPr>
              <w:t>小时内明确答复，当电话沟通无法解决时，须</w:t>
            </w:r>
            <w:r>
              <w:rPr>
                <w:rFonts w:ascii="宋体" w:hAnsi="宋体"/>
                <w:lang w:eastAsia="zh-CN"/>
              </w:rPr>
              <w:t>24</w:t>
            </w:r>
            <w:r>
              <w:rPr>
                <w:rFonts w:hint="eastAsia" w:ascii="宋体" w:hAnsi="宋体"/>
                <w:lang w:eastAsia="zh-CN"/>
              </w:rPr>
              <w:t>小时内派人至现场解决。</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jc w:val="right"/>
              <w:rPr>
                <w:szCs w:val="21"/>
              </w:rPr>
            </w:pPr>
            <w:r>
              <w:rPr>
                <w:szCs w:val="21"/>
              </w:rPr>
              <w:t>URS 58</w:t>
            </w:r>
          </w:p>
        </w:tc>
        <w:tc>
          <w:tcPr>
            <w:tcW w:w="6970" w:type="dxa"/>
            <w:gridSpan w:val="2"/>
            <w:shd w:val="clear" w:color="auto" w:fill="auto"/>
            <w:vAlign w:val="center"/>
          </w:tcPr>
          <w:p>
            <w:pPr>
              <w:spacing w:line="276" w:lineRule="auto"/>
              <w:jc w:val="both"/>
              <w:rPr>
                <w:rFonts w:ascii="宋体" w:hAnsi="宋体"/>
                <w:lang w:eastAsia="zh-CN"/>
              </w:rPr>
            </w:pPr>
            <w:r>
              <w:rPr>
                <w:rFonts w:hint="eastAsia" w:ascii="宋体" w:hAnsi="宋体"/>
                <w:lang w:eastAsia="zh-CN"/>
              </w:rPr>
              <w:t>一年免费保修期后，厂家应终生提供及时的维修、维护，厂家应定期回访，解决设备运行当中可能出现的疑问，排除潜在故障，使设备保持良好工作状态。</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jc w:val="right"/>
              <w:rPr>
                <w:szCs w:val="21"/>
              </w:rPr>
            </w:pPr>
            <w:r>
              <w:rPr>
                <w:szCs w:val="21"/>
              </w:rPr>
              <w:t>URS 59</w:t>
            </w:r>
          </w:p>
        </w:tc>
        <w:tc>
          <w:tcPr>
            <w:tcW w:w="6970" w:type="dxa"/>
            <w:gridSpan w:val="2"/>
            <w:shd w:val="clear" w:color="auto" w:fill="auto"/>
            <w:vAlign w:val="center"/>
          </w:tcPr>
          <w:p>
            <w:pPr>
              <w:spacing w:line="276" w:lineRule="auto"/>
              <w:jc w:val="both"/>
              <w:rPr>
                <w:szCs w:val="21"/>
                <w:lang w:eastAsia="zh-CN"/>
              </w:rPr>
            </w:pPr>
            <w:r>
              <w:rPr>
                <w:rFonts w:hint="eastAsia"/>
                <w:szCs w:val="21"/>
                <w:lang w:eastAsia="zh-CN"/>
              </w:rPr>
              <w:t>经销商或者厂家具备配件和管道耗材再次提供能力。</w:t>
            </w:r>
          </w:p>
        </w:tc>
        <w:tc>
          <w:tcPr>
            <w:tcW w:w="2082" w:type="dxa"/>
            <w:shd w:val="clear" w:color="auto" w:fill="auto"/>
            <w:vAlign w:val="center"/>
          </w:tcPr>
          <w:p>
            <w:pPr>
              <w:jc w:val="both"/>
              <w:rPr>
                <w:szCs w:val="21"/>
                <w:lang w:eastAsia="zh-CN"/>
              </w:rPr>
            </w:pPr>
            <w:r>
              <w:rPr>
                <w:rFonts w:hint="eastAsia"/>
                <w:szCs w:val="21"/>
                <w:lang w:eastAsia="zh-CN"/>
              </w:rPr>
              <w:t>关键</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jc w:val="right"/>
              <w:rPr>
                <w:szCs w:val="21"/>
              </w:rPr>
            </w:pPr>
            <w:permStart w:id="43" w:edGrp="everyone"/>
            <w:r>
              <w:rPr>
                <w:szCs w:val="21"/>
              </w:rPr>
              <w:t>URS 60</w:t>
            </w:r>
          </w:p>
        </w:tc>
        <w:tc>
          <w:tcPr>
            <w:tcW w:w="6970" w:type="dxa"/>
            <w:gridSpan w:val="2"/>
            <w:shd w:val="clear" w:color="auto" w:fill="auto"/>
            <w:vAlign w:val="center"/>
          </w:tcPr>
          <w:p>
            <w:pPr>
              <w:spacing w:line="276" w:lineRule="auto"/>
              <w:jc w:val="both"/>
              <w:rPr>
                <w:szCs w:val="21"/>
                <w:lang w:eastAsia="zh-CN"/>
              </w:rPr>
            </w:pPr>
            <w:r>
              <w:rPr>
                <w:rFonts w:hint="eastAsia"/>
                <w:szCs w:val="21"/>
                <w:lang w:eastAsia="zh-CN"/>
              </w:rPr>
              <w:t>经销商或者厂家具备故障解决能力。</w:t>
            </w:r>
          </w:p>
        </w:tc>
        <w:tc>
          <w:tcPr>
            <w:tcW w:w="2082" w:type="dxa"/>
            <w:shd w:val="clear" w:color="auto" w:fill="auto"/>
            <w:vAlign w:val="center"/>
          </w:tcPr>
          <w:p>
            <w:pPr>
              <w:jc w:val="both"/>
              <w:rPr>
                <w:szCs w:val="21"/>
                <w:lang w:eastAsia="zh-CN"/>
              </w:rPr>
            </w:pPr>
            <w:r>
              <w:rPr>
                <w:rFonts w:hint="eastAsia"/>
                <w:szCs w:val="21"/>
                <w:lang w:eastAsia="zh-CN"/>
              </w:rPr>
              <w:t>关键</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13"/>
              </w:numPr>
              <w:ind w:firstLineChars="0"/>
              <w:rPr>
                <w:rFonts w:ascii="Times New Roman" w:hAnsi="Times New Roman"/>
                <w:szCs w:val="21"/>
              </w:rPr>
            </w:pPr>
          </w:p>
        </w:tc>
        <w:tc>
          <w:tcPr>
            <w:tcW w:w="9052" w:type="dxa"/>
            <w:gridSpan w:val="3"/>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jc w:val="right"/>
              <w:rPr>
                <w:szCs w:val="21"/>
              </w:rPr>
            </w:pPr>
            <w:permStart w:id="44" w:edGrp="everyone"/>
            <w:r>
              <w:rPr>
                <w:szCs w:val="21"/>
              </w:rPr>
              <w:t>URS 61</w:t>
            </w:r>
          </w:p>
        </w:tc>
        <w:tc>
          <w:tcPr>
            <w:tcW w:w="6970" w:type="dxa"/>
            <w:gridSpan w:val="2"/>
            <w:shd w:val="clear" w:color="auto" w:fill="auto"/>
            <w:vAlign w:val="center"/>
          </w:tcPr>
          <w:p>
            <w:pPr>
              <w:spacing w:line="276" w:lineRule="auto"/>
              <w:jc w:val="both"/>
              <w:rPr>
                <w:szCs w:val="21"/>
                <w:lang w:eastAsia="zh-CN"/>
              </w:rPr>
            </w:pPr>
            <w:r>
              <w:rPr>
                <w:rFonts w:hint="eastAsia" w:ascii="宋体" w:hAnsi="宋体"/>
                <w:lang w:eastAsia="zh-CN"/>
              </w:rPr>
              <w:t>完成后由供应商和我方共同验收，供应商工程师免费为买方提供调试</w:t>
            </w:r>
          </w:p>
        </w:tc>
        <w:tc>
          <w:tcPr>
            <w:tcW w:w="2082"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jc w:val="right"/>
              <w:rPr>
                <w:szCs w:val="21"/>
              </w:rPr>
            </w:pPr>
            <w:r>
              <w:rPr>
                <w:szCs w:val="21"/>
              </w:rPr>
              <w:t>URS 62</w:t>
            </w:r>
          </w:p>
        </w:tc>
        <w:tc>
          <w:tcPr>
            <w:tcW w:w="6970" w:type="dxa"/>
            <w:gridSpan w:val="2"/>
            <w:shd w:val="clear" w:color="auto" w:fill="auto"/>
            <w:vAlign w:val="center"/>
          </w:tcPr>
          <w:p>
            <w:pPr>
              <w:spacing w:line="276" w:lineRule="auto"/>
              <w:jc w:val="both"/>
              <w:rPr>
                <w:rFonts w:ascii="宋体" w:hAnsi="宋体"/>
                <w:lang w:eastAsia="zh-CN"/>
              </w:rPr>
            </w:pPr>
            <w:r>
              <w:rPr>
                <w:rFonts w:hint="eastAsia" w:ascii="宋体" w:hAnsi="宋体"/>
                <w:lang w:eastAsia="zh-CN"/>
              </w:rPr>
              <w:t>厂家提供配液间1、2的磁力带称重混匀推车至各自分装操作间管路改造方案，该方案须符合现行G</w:t>
            </w:r>
            <w:r>
              <w:rPr>
                <w:rFonts w:ascii="宋体" w:hAnsi="宋体"/>
                <w:lang w:eastAsia="zh-CN"/>
              </w:rPr>
              <w:t>MP</w:t>
            </w:r>
            <w:r>
              <w:rPr>
                <w:rFonts w:hint="eastAsia" w:ascii="宋体" w:hAnsi="宋体"/>
                <w:lang w:eastAsia="zh-CN"/>
              </w:rPr>
              <w:t>等法律法规。厂家协助肠道病毒疫苗室改造车间。</w:t>
            </w:r>
          </w:p>
        </w:tc>
        <w:tc>
          <w:tcPr>
            <w:tcW w:w="2082" w:type="dxa"/>
            <w:shd w:val="clear" w:color="auto" w:fill="auto"/>
            <w:vAlign w:val="center"/>
          </w:tcPr>
          <w:p>
            <w:pPr>
              <w:jc w:val="both"/>
              <w:rPr>
                <w:szCs w:val="21"/>
                <w:lang w:eastAsia="zh-CN"/>
              </w:rPr>
            </w:pPr>
            <w:r>
              <w:rPr>
                <w:rFonts w:hint="eastAsia"/>
                <w:szCs w:val="21"/>
                <w:lang w:eastAsia="zh-CN"/>
              </w:rPr>
              <w:t>关键</w:t>
            </w:r>
          </w:p>
          <w:p>
            <w:pPr>
              <w:jc w:val="both"/>
              <w:rPr>
                <w:szCs w:val="21"/>
                <w:lang w:val="en-US" w:eastAsia="zh-CN"/>
              </w:rPr>
            </w:pP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jc w:val="right"/>
              <w:rPr>
                <w:szCs w:val="21"/>
              </w:rPr>
            </w:pPr>
            <w:permStart w:id="45" w:edGrp="everyone"/>
            <w:r>
              <w:rPr>
                <w:szCs w:val="21"/>
              </w:rPr>
              <w:t>URS 63</w:t>
            </w:r>
          </w:p>
        </w:tc>
        <w:tc>
          <w:tcPr>
            <w:tcW w:w="6970" w:type="dxa"/>
            <w:gridSpan w:val="2"/>
            <w:shd w:val="clear" w:color="auto" w:fill="auto"/>
            <w:vAlign w:val="center"/>
          </w:tcPr>
          <w:p>
            <w:pPr>
              <w:spacing w:line="276" w:lineRule="auto"/>
              <w:jc w:val="both"/>
              <w:rPr>
                <w:szCs w:val="21"/>
                <w:lang w:eastAsia="zh-CN"/>
              </w:rPr>
            </w:pPr>
            <w:r>
              <w:rPr>
                <w:rFonts w:hint="eastAsia"/>
                <w:szCs w:val="21"/>
                <w:lang w:eastAsia="zh-CN"/>
              </w:rPr>
              <w:t>确认验收合格后，甲乙双方签订验收报告</w:t>
            </w:r>
          </w:p>
        </w:tc>
        <w:tc>
          <w:tcPr>
            <w:tcW w:w="2082" w:type="dxa"/>
            <w:shd w:val="clear" w:color="auto" w:fill="auto"/>
            <w:vAlign w:val="center"/>
          </w:tcPr>
          <w:p>
            <w:pPr>
              <w:jc w:val="both"/>
              <w:rPr>
                <w:szCs w:val="21"/>
                <w:lang w:eastAsia="zh-CN"/>
              </w:rPr>
            </w:pPr>
            <w:r>
              <w:rPr>
                <w:rFonts w:hint="eastAsia"/>
                <w:szCs w:val="21"/>
                <w:lang w:eastAsia="zh-CN"/>
              </w:rPr>
              <w:t>关键</w:t>
            </w:r>
          </w:p>
        </w:tc>
      </w:tr>
      <w:permEnd w:id="45"/>
    </w:tbl>
    <w:p/>
    <w:p>
      <w:pPr>
        <w:pStyle w:val="31"/>
        <w:numPr>
          <w:ilvl w:val="0"/>
          <w:numId w:val="3"/>
        </w:numPr>
        <w:spacing w:after="158" w:afterLines="50"/>
        <w:ind w:left="426" w:hanging="426" w:hangingChars="202"/>
        <w:outlineLvl w:val="0"/>
        <w:rPr>
          <w:rFonts w:ascii="Times New Roman" w:hAnsi="Times New Roman"/>
          <w:b/>
        </w:rPr>
      </w:pPr>
      <w:bookmarkStart w:id="45" w:name="_Toc522716126"/>
      <w:bookmarkStart w:id="46" w:name="_Toc522107746"/>
      <w:r>
        <w:rPr>
          <w:rFonts w:ascii="Times New Roman" w:hAnsi="Times New Roman"/>
          <w:b/>
        </w:rPr>
        <w:t>附件</w:t>
      </w:r>
      <w:bookmarkEnd w:id="29"/>
      <w:bookmarkEnd w:id="30"/>
      <w:bookmarkEnd w:id="31"/>
      <w:bookmarkEnd w:id="32"/>
      <w:bookmarkEnd w:id="33"/>
      <w:bookmarkEnd w:id="34"/>
      <w:bookmarkEnd w:id="35"/>
      <w:bookmarkEnd w:id="36"/>
      <w:bookmarkEnd w:id="37"/>
      <w:bookmarkEnd w:id="38"/>
      <w:bookmarkEnd w:id="39"/>
      <w:bookmarkEnd w:id="40"/>
      <w:bookmarkEnd w:id="45"/>
      <w:bookmarkEnd w:id="46"/>
      <w:permStart w:id="46" w:edGrp="everyone"/>
    </w:p>
    <w:p>
      <w:pPr>
        <w:pStyle w:val="31"/>
        <w:spacing w:after="158" w:afterLines="50"/>
        <w:ind w:left="426" w:firstLine="0" w:firstLineChars="0"/>
        <w:outlineLvl w:val="0"/>
        <w:rPr>
          <w:rFonts w:ascii="Times New Roman" w:hAnsi="Times New Roman"/>
          <w:b/>
        </w:rPr>
      </w:pPr>
      <w:r>
        <w:rPr>
          <w:rFonts w:hint="eastAsia" w:ascii="Times New Roman" w:hAnsi="Times New Roman"/>
          <w:b/>
        </w:rPr>
        <w:t>N</w:t>
      </w:r>
      <w:r>
        <w:rPr>
          <w:rFonts w:ascii="Times New Roman" w:hAnsi="Times New Roman"/>
          <w:b/>
        </w:rPr>
        <w:t>\A</w:t>
      </w:r>
      <w:permEnd w:id="46"/>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043BD"/>
    <w:multiLevelType w:val="singleLevel"/>
    <w:tmpl w:val="C07043BD"/>
    <w:lvl w:ilvl="0" w:tentative="0">
      <w:start w:val="1"/>
      <w:numFmt w:val="decimal"/>
      <w:suff w:val="nothing"/>
      <w:lvlText w:val="%1）"/>
      <w:lvlJc w:val="left"/>
    </w:lvl>
  </w:abstractNum>
  <w:abstractNum w:abstractNumId="1">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D341CC"/>
    <w:multiLevelType w:val="multilevel"/>
    <w:tmpl w:val="16D341CC"/>
    <w:lvl w:ilvl="0" w:tentative="0">
      <w:start w:val="1"/>
      <w:numFmt w:val="decimal"/>
      <w:lvlText w:val="URS %1"/>
      <w:lvlJc w:val="left"/>
      <w:pPr>
        <w:ind w:left="1554"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9A640C"/>
    <w:multiLevelType w:val="multilevel"/>
    <w:tmpl w:val="549A640C"/>
    <w:lvl w:ilvl="0" w:tentative="0">
      <w:start w:val="1"/>
      <w:numFmt w:val="decimal"/>
      <w:lvlText w:val="12.%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334F38"/>
    <w:multiLevelType w:val="multilevel"/>
    <w:tmpl w:val="55334F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7503F37"/>
    <w:multiLevelType w:val="multilevel"/>
    <w:tmpl w:val="67503F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6546ED"/>
    <w:multiLevelType w:val="multilevel"/>
    <w:tmpl w:val="686546ED"/>
    <w:lvl w:ilvl="0" w:tentative="0">
      <w:start w:val="1"/>
      <w:numFmt w:val="decimal"/>
      <w:pStyle w:val="37"/>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3"/>
  </w:num>
  <w:num w:numId="3">
    <w:abstractNumId w:val="7"/>
  </w:num>
  <w:num w:numId="4">
    <w:abstractNumId w:val="11"/>
  </w:num>
  <w:num w:numId="5">
    <w:abstractNumId w:val="6"/>
  </w:num>
  <w:num w:numId="6">
    <w:abstractNumId w:val="1"/>
  </w:num>
  <w:num w:numId="7">
    <w:abstractNumId w:val="5"/>
  </w:num>
  <w:num w:numId="8">
    <w:abstractNumId w:val="4"/>
  </w:num>
  <w:num w:numId="9">
    <w:abstractNumId w:val="8"/>
  </w:num>
  <w:num w:numId="10">
    <w:abstractNumId w:val="3"/>
  </w:num>
  <w:num w:numId="11">
    <w:abstractNumId w:val="0"/>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dit="readOnly" w:enforcement="0"/>
  <w:defaultTabStop w:val="720"/>
  <w:drawingGridHorizontalSpacing w:val="120"/>
  <w:drawingGridVerticalSpacing w:val="158"/>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iYzc1M2RlZWY2MGEyNDJhNDdhMmVhY2VmYTc5YWUifQ=="/>
  </w:docVars>
  <w:rsids>
    <w:rsidRoot w:val="00391016"/>
    <w:rsid w:val="00000CE3"/>
    <w:rsid w:val="000014BC"/>
    <w:rsid w:val="00001AE0"/>
    <w:rsid w:val="000021A6"/>
    <w:rsid w:val="00002F06"/>
    <w:rsid w:val="000038A4"/>
    <w:rsid w:val="0000520B"/>
    <w:rsid w:val="000059AD"/>
    <w:rsid w:val="00005CB9"/>
    <w:rsid w:val="00005E76"/>
    <w:rsid w:val="00006273"/>
    <w:rsid w:val="00006FD5"/>
    <w:rsid w:val="00007EAC"/>
    <w:rsid w:val="0001160E"/>
    <w:rsid w:val="000117C7"/>
    <w:rsid w:val="000169DD"/>
    <w:rsid w:val="00016EB4"/>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57B77"/>
    <w:rsid w:val="00062C19"/>
    <w:rsid w:val="00063572"/>
    <w:rsid w:val="00063B90"/>
    <w:rsid w:val="00064A43"/>
    <w:rsid w:val="000662D2"/>
    <w:rsid w:val="00071DD4"/>
    <w:rsid w:val="00072340"/>
    <w:rsid w:val="00072945"/>
    <w:rsid w:val="00073B81"/>
    <w:rsid w:val="0007666F"/>
    <w:rsid w:val="0007673E"/>
    <w:rsid w:val="00077AE1"/>
    <w:rsid w:val="000818AC"/>
    <w:rsid w:val="00082BC0"/>
    <w:rsid w:val="00082C13"/>
    <w:rsid w:val="00083D58"/>
    <w:rsid w:val="000844A8"/>
    <w:rsid w:val="00084F90"/>
    <w:rsid w:val="00086CA0"/>
    <w:rsid w:val="00087002"/>
    <w:rsid w:val="00091228"/>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B50"/>
    <w:rsid w:val="000D7C49"/>
    <w:rsid w:val="000E0DDB"/>
    <w:rsid w:val="000E17B5"/>
    <w:rsid w:val="000E41B5"/>
    <w:rsid w:val="000E51FF"/>
    <w:rsid w:val="000E5684"/>
    <w:rsid w:val="000E5B57"/>
    <w:rsid w:val="000F0D08"/>
    <w:rsid w:val="000F2CD3"/>
    <w:rsid w:val="000F36B9"/>
    <w:rsid w:val="000F3A00"/>
    <w:rsid w:val="000F4E03"/>
    <w:rsid w:val="000F606A"/>
    <w:rsid w:val="000F685F"/>
    <w:rsid w:val="000F706D"/>
    <w:rsid w:val="00100F65"/>
    <w:rsid w:val="0010110F"/>
    <w:rsid w:val="00102DC9"/>
    <w:rsid w:val="001031DF"/>
    <w:rsid w:val="00103F05"/>
    <w:rsid w:val="00104160"/>
    <w:rsid w:val="0010503D"/>
    <w:rsid w:val="00106571"/>
    <w:rsid w:val="00106B5D"/>
    <w:rsid w:val="0011098A"/>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06DF"/>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57F5A"/>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6321"/>
    <w:rsid w:val="00187B04"/>
    <w:rsid w:val="00190000"/>
    <w:rsid w:val="001929C2"/>
    <w:rsid w:val="00192B8F"/>
    <w:rsid w:val="00192BC5"/>
    <w:rsid w:val="00193D66"/>
    <w:rsid w:val="00194BB7"/>
    <w:rsid w:val="001A1DE7"/>
    <w:rsid w:val="001A3BB0"/>
    <w:rsid w:val="001A4947"/>
    <w:rsid w:val="001A64C0"/>
    <w:rsid w:val="001A685F"/>
    <w:rsid w:val="001A7EB6"/>
    <w:rsid w:val="001A7FE4"/>
    <w:rsid w:val="001B0278"/>
    <w:rsid w:val="001B28C8"/>
    <w:rsid w:val="001B4654"/>
    <w:rsid w:val="001C017B"/>
    <w:rsid w:val="001C0644"/>
    <w:rsid w:val="001C239E"/>
    <w:rsid w:val="001C2D7E"/>
    <w:rsid w:val="001C34DC"/>
    <w:rsid w:val="001D1FA0"/>
    <w:rsid w:val="001D32D4"/>
    <w:rsid w:val="001D3C96"/>
    <w:rsid w:val="001D4383"/>
    <w:rsid w:val="001D4742"/>
    <w:rsid w:val="001D474B"/>
    <w:rsid w:val="001D48B0"/>
    <w:rsid w:val="001D5549"/>
    <w:rsid w:val="001E0376"/>
    <w:rsid w:val="001E13E0"/>
    <w:rsid w:val="001E28DF"/>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1C61"/>
    <w:rsid w:val="00212297"/>
    <w:rsid w:val="002129BC"/>
    <w:rsid w:val="00212BD9"/>
    <w:rsid w:val="00213AA9"/>
    <w:rsid w:val="002168FE"/>
    <w:rsid w:val="00217048"/>
    <w:rsid w:val="002178C5"/>
    <w:rsid w:val="00220757"/>
    <w:rsid w:val="00222993"/>
    <w:rsid w:val="00223661"/>
    <w:rsid w:val="00224129"/>
    <w:rsid w:val="00225DD2"/>
    <w:rsid w:val="00225E56"/>
    <w:rsid w:val="002279A2"/>
    <w:rsid w:val="00227A0D"/>
    <w:rsid w:val="002320D9"/>
    <w:rsid w:val="002330C3"/>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3F14"/>
    <w:rsid w:val="0029741F"/>
    <w:rsid w:val="00297DDC"/>
    <w:rsid w:val="002A18C8"/>
    <w:rsid w:val="002A3F19"/>
    <w:rsid w:val="002A42F8"/>
    <w:rsid w:val="002A547B"/>
    <w:rsid w:val="002A588E"/>
    <w:rsid w:val="002A7980"/>
    <w:rsid w:val="002B0A7C"/>
    <w:rsid w:val="002B14F3"/>
    <w:rsid w:val="002B46C2"/>
    <w:rsid w:val="002B480A"/>
    <w:rsid w:val="002B67A2"/>
    <w:rsid w:val="002B6854"/>
    <w:rsid w:val="002C0216"/>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229"/>
    <w:rsid w:val="002F340E"/>
    <w:rsid w:val="002F4392"/>
    <w:rsid w:val="002F4641"/>
    <w:rsid w:val="002F4B22"/>
    <w:rsid w:val="002F505D"/>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27EA"/>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0F73"/>
    <w:rsid w:val="003531FA"/>
    <w:rsid w:val="0035416F"/>
    <w:rsid w:val="003549FE"/>
    <w:rsid w:val="00355AAC"/>
    <w:rsid w:val="00355D7D"/>
    <w:rsid w:val="00360016"/>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6DA"/>
    <w:rsid w:val="003C6ECF"/>
    <w:rsid w:val="003C73BC"/>
    <w:rsid w:val="003D2243"/>
    <w:rsid w:val="003D3C09"/>
    <w:rsid w:val="003D464A"/>
    <w:rsid w:val="003D4EFF"/>
    <w:rsid w:val="003D5788"/>
    <w:rsid w:val="003D5F4A"/>
    <w:rsid w:val="003D662C"/>
    <w:rsid w:val="003D77E5"/>
    <w:rsid w:val="003E49F8"/>
    <w:rsid w:val="003E5109"/>
    <w:rsid w:val="003E60EE"/>
    <w:rsid w:val="003E6B48"/>
    <w:rsid w:val="003E748F"/>
    <w:rsid w:val="003F0D10"/>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45E1D"/>
    <w:rsid w:val="004510B1"/>
    <w:rsid w:val="00451C5D"/>
    <w:rsid w:val="00451D74"/>
    <w:rsid w:val="00452E73"/>
    <w:rsid w:val="0045631C"/>
    <w:rsid w:val="004565EF"/>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0CC5"/>
    <w:rsid w:val="004A2C77"/>
    <w:rsid w:val="004A3F98"/>
    <w:rsid w:val="004A5532"/>
    <w:rsid w:val="004A5958"/>
    <w:rsid w:val="004A76DF"/>
    <w:rsid w:val="004A7856"/>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E562C"/>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2506"/>
    <w:rsid w:val="005247DE"/>
    <w:rsid w:val="00530B8F"/>
    <w:rsid w:val="00531434"/>
    <w:rsid w:val="00531754"/>
    <w:rsid w:val="00534840"/>
    <w:rsid w:val="00534D08"/>
    <w:rsid w:val="00536973"/>
    <w:rsid w:val="00536C6B"/>
    <w:rsid w:val="00544652"/>
    <w:rsid w:val="0054625B"/>
    <w:rsid w:val="00551539"/>
    <w:rsid w:val="00552EFE"/>
    <w:rsid w:val="00553EBA"/>
    <w:rsid w:val="00554ABB"/>
    <w:rsid w:val="0055552D"/>
    <w:rsid w:val="00555668"/>
    <w:rsid w:val="0055679E"/>
    <w:rsid w:val="00557E86"/>
    <w:rsid w:val="0056090D"/>
    <w:rsid w:val="00561E9C"/>
    <w:rsid w:val="00562F60"/>
    <w:rsid w:val="00565C7A"/>
    <w:rsid w:val="00567E14"/>
    <w:rsid w:val="005705A7"/>
    <w:rsid w:val="0057277E"/>
    <w:rsid w:val="00572F0E"/>
    <w:rsid w:val="00574D60"/>
    <w:rsid w:val="00575318"/>
    <w:rsid w:val="00575488"/>
    <w:rsid w:val="00577142"/>
    <w:rsid w:val="005773E5"/>
    <w:rsid w:val="00577D67"/>
    <w:rsid w:val="00581AD5"/>
    <w:rsid w:val="00581C4E"/>
    <w:rsid w:val="00582DB0"/>
    <w:rsid w:val="00584B8E"/>
    <w:rsid w:val="00586EFD"/>
    <w:rsid w:val="00587AC1"/>
    <w:rsid w:val="00587DE8"/>
    <w:rsid w:val="00590694"/>
    <w:rsid w:val="00590AA6"/>
    <w:rsid w:val="00591A70"/>
    <w:rsid w:val="00592624"/>
    <w:rsid w:val="00592CED"/>
    <w:rsid w:val="00593AF8"/>
    <w:rsid w:val="00593EC9"/>
    <w:rsid w:val="005964B1"/>
    <w:rsid w:val="005965FD"/>
    <w:rsid w:val="00597FCC"/>
    <w:rsid w:val="005A132A"/>
    <w:rsid w:val="005A337C"/>
    <w:rsid w:val="005A34B0"/>
    <w:rsid w:val="005A3ECF"/>
    <w:rsid w:val="005A6821"/>
    <w:rsid w:val="005B019F"/>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E2725"/>
    <w:rsid w:val="005E65FA"/>
    <w:rsid w:val="005F19CE"/>
    <w:rsid w:val="005F28F4"/>
    <w:rsid w:val="005F43BB"/>
    <w:rsid w:val="005F503E"/>
    <w:rsid w:val="005F6CB3"/>
    <w:rsid w:val="005F7612"/>
    <w:rsid w:val="005F7663"/>
    <w:rsid w:val="005F7D63"/>
    <w:rsid w:val="00603B80"/>
    <w:rsid w:val="00607170"/>
    <w:rsid w:val="00607408"/>
    <w:rsid w:val="00610719"/>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6F7D"/>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75235"/>
    <w:rsid w:val="00680BE8"/>
    <w:rsid w:val="00685C66"/>
    <w:rsid w:val="00686409"/>
    <w:rsid w:val="00686573"/>
    <w:rsid w:val="00686D19"/>
    <w:rsid w:val="0068777F"/>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31"/>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475A5"/>
    <w:rsid w:val="007478E1"/>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25D"/>
    <w:rsid w:val="00784913"/>
    <w:rsid w:val="0078588B"/>
    <w:rsid w:val="00785B90"/>
    <w:rsid w:val="0078639C"/>
    <w:rsid w:val="007913D3"/>
    <w:rsid w:val="00794FC6"/>
    <w:rsid w:val="0079790C"/>
    <w:rsid w:val="007A102A"/>
    <w:rsid w:val="007A15E6"/>
    <w:rsid w:val="007A194B"/>
    <w:rsid w:val="007A4BCD"/>
    <w:rsid w:val="007A5714"/>
    <w:rsid w:val="007A5EFA"/>
    <w:rsid w:val="007A6821"/>
    <w:rsid w:val="007A75EF"/>
    <w:rsid w:val="007A7E05"/>
    <w:rsid w:val="007B03B6"/>
    <w:rsid w:val="007B1257"/>
    <w:rsid w:val="007B33CC"/>
    <w:rsid w:val="007B4133"/>
    <w:rsid w:val="007B49F4"/>
    <w:rsid w:val="007B7AB4"/>
    <w:rsid w:val="007C121D"/>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3532"/>
    <w:rsid w:val="007E419E"/>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7EA4"/>
    <w:rsid w:val="008301D6"/>
    <w:rsid w:val="008305B7"/>
    <w:rsid w:val="00830C78"/>
    <w:rsid w:val="00830FB9"/>
    <w:rsid w:val="008312AB"/>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4F3"/>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3686"/>
    <w:rsid w:val="00894E9F"/>
    <w:rsid w:val="00895424"/>
    <w:rsid w:val="00896CEC"/>
    <w:rsid w:val="008A06BC"/>
    <w:rsid w:val="008A0AA3"/>
    <w:rsid w:val="008A0EAA"/>
    <w:rsid w:val="008A149F"/>
    <w:rsid w:val="008A19FD"/>
    <w:rsid w:val="008A1A25"/>
    <w:rsid w:val="008A4E05"/>
    <w:rsid w:val="008A56DB"/>
    <w:rsid w:val="008A6CFC"/>
    <w:rsid w:val="008B2064"/>
    <w:rsid w:val="008B2125"/>
    <w:rsid w:val="008B25D4"/>
    <w:rsid w:val="008B38E5"/>
    <w:rsid w:val="008B58C4"/>
    <w:rsid w:val="008B6CD2"/>
    <w:rsid w:val="008B72DD"/>
    <w:rsid w:val="008C050B"/>
    <w:rsid w:val="008C1132"/>
    <w:rsid w:val="008C206F"/>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17C82"/>
    <w:rsid w:val="00923F7E"/>
    <w:rsid w:val="00924C96"/>
    <w:rsid w:val="00925030"/>
    <w:rsid w:val="00925B32"/>
    <w:rsid w:val="009302AF"/>
    <w:rsid w:val="00930688"/>
    <w:rsid w:val="00930A64"/>
    <w:rsid w:val="00930BE5"/>
    <w:rsid w:val="00931403"/>
    <w:rsid w:val="00934991"/>
    <w:rsid w:val="009351A7"/>
    <w:rsid w:val="009426B9"/>
    <w:rsid w:val="00944E85"/>
    <w:rsid w:val="0094634C"/>
    <w:rsid w:val="009463AB"/>
    <w:rsid w:val="00950239"/>
    <w:rsid w:val="00950332"/>
    <w:rsid w:val="0095425B"/>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57FA"/>
    <w:rsid w:val="009D593F"/>
    <w:rsid w:val="009D6AF5"/>
    <w:rsid w:val="009D6CF1"/>
    <w:rsid w:val="009D74BA"/>
    <w:rsid w:val="009E0874"/>
    <w:rsid w:val="009E1A16"/>
    <w:rsid w:val="009E2045"/>
    <w:rsid w:val="009E4A84"/>
    <w:rsid w:val="009E6973"/>
    <w:rsid w:val="009F0466"/>
    <w:rsid w:val="009F2972"/>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171C"/>
    <w:rsid w:val="00A71DA8"/>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A7E37"/>
    <w:rsid w:val="00AB1FF5"/>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C7944"/>
    <w:rsid w:val="00AD3559"/>
    <w:rsid w:val="00AD3B05"/>
    <w:rsid w:val="00AD3C8E"/>
    <w:rsid w:val="00AD470D"/>
    <w:rsid w:val="00AD5193"/>
    <w:rsid w:val="00AD5E26"/>
    <w:rsid w:val="00AD7390"/>
    <w:rsid w:val="00AD7E6F"/>
    <w:rsid w:val="00AE1BD8"/>
    <w:rsid w:val="00AE2817"/>
    <w:rsid w:val="00AE304B"/>
    <w:rsid w:val="00AE3D3E"/>
    <w:rsid w:val="00AE49B2"/>
    <w:rsid w:val="00AE6BEB"/>
    <w:rsid w:val="00AE7789"/>
    <w:rsid w:val="00AF32EA"/>
    <w:rsid w:val="00AF38C8"/>
    <w:rsid w:val="00AF3DED"/>
    <w:rsid w:val="00AF48B1"/>
    <w:rsid w:val="00AF4FB8"/>
    <w:rsid w:val="00AF63FF"/>
    <w:rsid w:val="00AF6713"/>
    <w:rsid w:val="00AF6BD6"/>
    <w:rsid w:val="00AF753A"/>
    <w:rsid w:val="00AF78F8"/>
    <w:rsid w:val="00B021ED"/>
    <w:rsid w:val="00B0250D"/>
    <w:rsid w:val="00B032B1"/>
    <w:rsid w:val="00B03F46"/>
    <w:rsid w:val="00B059B8"/>
    <w:rsid w:val="00B07418"/>
    <w:rsid w:val="00B11547"/>
    <w:rsid w:val="00B11EF0"/>
    <w:rsid w:val="00B1226C"/>
    <w:rsid w:val="00B14F05"/>
    <w:rsid w:val="00B15D01"/>
    <w:rsid w:val="00B16B94"/>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1489"/>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3FC"/>
    <w:rsid w:val="00BB6B2D"/>
    <w:rsid w:val="00BB7375"/>
    <w:rsid w:val="00BC0500"/>
    <w:rsid w:val="00BC056A"/>
    <w:rsid w:val="00BC0F58"/>
    <w:rsid w:val="00BC44F5"/>
    <w:rsid w:val="00BC500B"/>
    <w:rsid w:val="00BC547C"/>
    <w:rsid w:val="00BC6B29"/>
    <w:rsid w:val="00BC798C"/>
    <w:rsid w:val="00BC7D11"/>
    <w:rsid w:val="00BD00FD"/>
    <w:rsid w:val="00BD15A2"/>
    <w:rsid w:val="00BD2153"/>
    <w:rsid w:val="00BD337A"/>
    <w:rsid w:val="00BD45D9"/>
    <w:rsid w:val="00BD558D"/>
    <w:rsid w:val="00BD5CC3"/>
    <w:rsid w:val="00BE1F47"/>
    <w:rsid w:val="00BE24AD"/>
    <w:rsid w:val="00BE2787"/>
    <w:rsid w:val="00BE3AE8"/>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2EEA"/>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534"/>
    <w:rsid w:val="00C76812"/>
    <w:rsid w:val="00C77391"/>
    <w:rsid w:val="00C83D88"/>
    <w:rsid w:val="00C84781"/>
    <w:rsid w:val="00C84961"/>
    <w:rsid w:val="00C84B06"/>
    <w:rsid w:val="00C87100"/>
    <w:rsid w:val="00C87CAC"/>
    <w:rsid w:val="00C913A1"/>
    <w:rsid w:val="00C950D6"/>
    <w:rsid w:val="00C97646"/>
    <w:rsid w:val="00C97672"/>
    <w:rsid w:val="00CA55BD"/>
    <w:rsid w:val="00CB0837"/>
    <w:rsid w:val="00CB2BFA"/>
    <w:rsid w:val="00CB370C"/>
    <w:rsid w:val="00CB3888"/>
    <w:rsid w:val="00CB400E"/>
    <w:rsid w:val="00CB48F6"/>
    <w:rsid w:val="00CB5F04"/>
    <w:rsid w:val="00CB6220"/>
    <w:rsid w:val="00CB67F1"/>
    <w:rsid w:val="00CB7DC8"/>
    <w:rsid w:val="00CC0EC0"/>
    <w:rsid w:val="00CC34DB"/>
    <w:rsid w:val="00CC51AC"/>
    <w:rsid w:val="00CC609D"/>
    <w:rsid w:val="00CC7044"/>
    <w:rsid w:val="00CD11FF"/>
    <w:rsid w:val="00CD15E7"/>
    <w:rsid w:val="00CE07A9"/>
    <w:rsid w:val="00CE1012"/>
    <w:rsid w:val="00CE419E"/>
    <w:rsid w:val="00CE4FF3"/>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0A19"/>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5DB5"/>
    <w:rsid w:val="00D37394"/>
    <w:rsid w:val="00D46699"/>
    <w:rsid w:val="00D47345"/>
    <w:rsid w:val="00D5073F"/>
    <w:rsid w:val="00D51573"/>
    <w:rsid w:val="00D5399A"/>
    <w:rsid w:val="00D5444F"/>
    <w:rsid w:val="00D54E0D"/>
    <w:rsid w:val="00D54F7D"/>
    <w:rsid w:val="00D57528"/>
    <w:rsid w:val="00D602CA"/>
    <w:rsid w:val="00D60DD8"/>
    <w:rsid w:val="00D64C6C"/>
    <w:rsid w:val="00D66D42"/>
    <w:rsid w:val="00D709D1"/>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97F25"/>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1CC"/>
    <w:rsid w:val="00DD3222"/>
    <w:rsid w:val="00DD3D81"/>
    <w:rsid w:val="00DD571C"/>
    <w:rsid w:val="00DD64E1"/>
    <w:rsid w:val="00DE039A"/>
    <w:rsid w:val="00DE0403"/>
    <w:rsid w:val="00DE4811"/>
    <w:rsid w:val="00DE5458"/>
    <w:rsid w:val="00DE5EE6"/>
    <w:rsid w:val="00DE77EA"/>
    <w:rsid w:val="00DF0ABA"/>
    <w:rsid w:val="00DF1EEE"/>
    <w:rsid w:val="00DF6C58"/>
    <w:rsid w:val="00E001C1"/>
    <w:rsid w:val="00E00D4A"/>
    <w:rsid w:val="00E039F3"/>
    <w:rsid w:val="00E03C30"/>
    <w:rsid w:val="00E078BD"/>
    <w:rsid w:val="00E078F8"/>
    <w:rsid w:val="00E1142B"/>
    <w:rsid w:val="00E11F10"/>
    <w:rsid w:val="00E157E4"/>
    <w:rsid w:val="00E15950"/>
    <w:rsid w:val="00E16522"/>
    <w:rsid w:val="00E1750C"/>
    <w:rsid w:val="00E178A6"/>
    <w:rsid w:val="00E20545"/>
    <w:rsid w:val="00E21987"/>
    <w:rsid w:val="00E223C6"/>
    <w:rsid w:val="00E2443D"/>
    <w:rsid w:val="00E24789"/>
    <w:rsid w:val="00E26615"/>
    <w:rsid w:val="00E26F37"/>
    <w:rsid w:val="00E270B6"/>
    <w:rsid w:val="00E314B2"/>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0724"/>
    <w:rsid w:val="00E743AC"/>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CB"/>
    <w:rsid w:val="00E965D7"/>
    <w:rsid w:val="00E96D30"/>
    <w:rsid w:val="00EA07DB"/>
    <w:rsid w:val="00EA1327"/>
    <w:rsid w:val="00EA623C"/>
    <w:rsid w:val="00EA6395"/>
    <w:rsid w:val="00EA7C62"/>
    <w:rsid w:val="00EB044B"/>
    <w:rsid w:val="00EB067C"/>
    <w:rsid w:val="00EB3C66"/>
    <w:rsid w:val="00EB4B03"/>
    <w:rsid w:val="00EB5DEE"/>
    <w:rsid w:val="00EB64CB"/>
    <w:rsid w:val="00EB6D46"/>
    <w:rsid w:val="00EB73D4"/>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72B"/>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321"/>
    <w:rsid w:val="00F44A83"/>
    <w:rsid w:val="00F51743"/>
    <w:rsid w:val="00F529D4"/>
    <w:rsid w:val="00F54F27"/>
    <w:rsid w:val="00F55FC8"/>
    <w:rsid w:val="00F5707F"/>
    <w:rsid w:val="00F604E3"/>
    <w:rsid w:val="00F610E6"/>
    <w:rsid w:val="00F61FCC"/>
    <w:rsid w:val="00F66036"/>
    <w:rsid w:val="00F6689D"/>
    <w:rsid w:val="00F67E23"/>
    <w:rsid w:val="00F71601"/>
    <w:rsid w:val="00F72C75"/>
    <w:rsid w:val="00F73D21"/>
    <w:rsid w:val="00F74033"/>
    <w:rsid w:val="00F759EB"/>
    <w:rsid w:val="00F772F7"/>
    <w:rsid w:val="00F81334"/>
    <w:rsid w:val="00F81A81"/>
    <w:rsid w:val="00F81CC5"/>
    <w:rsid w:val="00F8760D"/>
    <w:rsid w:val="00F87AAD"/>
    <w:rsid w:val="00F9174C"/>
    <w:rsid w:val="00F91D5C"/>
    <w:rsid w:val="00F92097"/>
    <w:rsid w:val="00F951DB"/>
    <w:rsid w:val="00F9574A"/>
    <w:rsid w:val="00F95906"/>
    <w:rsid w:val="00F95D64"/>
    <w:rsid w:val="00F9793B"/>
    <w:rsid w:val="00FA0EAA"/>
    <w:rsid w:val="00FA0F53"/>
    <w:rsid w:val="00FA1DA9"/>
    <w:rsid w:val="00FA3809"/>
    <w:rsid w:val="00FA3A95"/>
    <w:rsid w:val="00FA4FCF"/>
    <w:rsid w:val="00FA6D7E"/>
    <w:rsid w:val="00FA7961"/>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3B6"/>
    <w:rsid w:val="00FF0769"/>
    <w:rsid w:val="00FF0DB8"/>
    <w:rsid w:val="00FF1A76"/>
    <w:rsid w:val="00FF1C1D"/>
    <w:rsid w:val="00FF3330"/>
    <w:rsid w:val="00FF4080"/>
    <w:rsid w:val="00FF40A5"/>
    <w:rsid w:val="00FF48DA"/>
    <w:rsid w:val="00FF5E19"/>
    <w:rsid w:val="00FF61AD"/>
    <w:rsid w:val="00FF7349"/>
    <w:rsid w:val="00FF76BD"/>
    <w:rsid w:val="17C513D9"/>
    <w:rsid w:val="1D89766E"/>
    <w:rsid w:val="20A447AD"/>
    <w:rsid w:val="22C66A3D"/>
    <w:rsid w:val="234C1DFF"/>
    <w:rsid w:val="36C276E0"/>
    <w:rsid w:val="3C3D38BD"/>
    <w:rsid w:val="44107E03"/>
    <w:rsid w:val="50114BF3"/>
    <w:rsid w:val="5BD60D5B"/>
    <w:rsid w:val="6599724B"/>
    <w:rsid w:val="670E26C0"/>
    <w:rsid w:val="7EBA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semiHidden/>
    <w:qFormat/>
    <w:uiPriority w:val="0"/>
  </w:style>
  <w:style w:type="paragraph" w:styleId="7">
    <w:name w:val="Body Text 3"/>
    <w:basedOn w:val="1"/>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4"/>
    <w:qFormat/>
    <w:uiPriority w:val="99"/>
    <w:pPr>
      <w:tabs>
        <w:tab w:val="center" w:pos="4320"/>
        <w:tab w:val="right" w:pos="8640"/>
      </w:tabs>
    </w:pPr>
  </w:style>
  <w:style w:type="paragraph" w:styleId="14">
    <w:name w:val="header"/>
    <w:basedOn w:val="1"/>
    <w:link w:val="26"/>
    <w:qFormat/>
    <w:uiPriority w:val="0"/>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Title"/>
    <w:basedOn w:val="1"/>
    <w:next w:val="1"/>
    <w:link w:val="44"/>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semiHidden/>
    <w:qFormat/>
    <w:uiPriority w:val="0"/>
    <w:rPr>
      <w:b/>
      <w:bCs/>
    </w:rPr>
  </w:style>
  <w:style w:type="table" w:styleId="20">
    <w:name w:val="Table Grid"/>
    <w:basedOn w:val="19"/>
    <w:qFormat/>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paragraph" w:customStyle="1" w:styleId="25">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6">
    <w:name w:val="页眉 字符"/>
    <w:link w:val="14"/>
    <w:qFormat/>
    <w:uiPriority w:val="0"/>
    <w:rPr>
      <w:rFonts w:eastAsia="宋体"/>
      <w:sz w:val="24"/>
      <w:lang w:val="en-GB" w:eastAsia="en-US" w:bidi="ar-SA"/>
    </w:rPr>
  </w:style>
  <w:style w:type="paragraph" w:customStyle="1" w:styleId="27">
    <w:name w:val="Default Text"/>
    <w:basedOn w:val="1"/>
    <w:qFormat/>
    <w:uiPriority w:val="0"/>
    <w:pPr>
      <w:overflowPunct/>
      <w:textAlignment w:val="auto"/>
    </w:pPr>
    <w:rPr>
      <w:rFonts w:ascii="Arial" w:hAnsi="Arial"/>
      <w:szCs w:val="24"/>
      <w:lang w:val="en-US"/>
    </w:rPr>
  </w:style>
  <w:style w:type="paragraph" w:customStyle="1" w:styleId="28">
    <w:name w:val="Style"/>
    <w:basedOn w:val="1"/>
    <w:qFormat/>
    <w:uiPriority w:val="0"/>
    <w:pPr>
      <w:overflowPunct/>
      <w:textAlignment w:val="auto"/>
    </w:pPr>
    <w:rPr>
      <w:rFonts w:ascii="Arial" w:hAnsi="Arial"/>
      <w:szCs w:val="24"/>
      <w:lang w:val="en-US"/>
    </w:rPr>
  </w:style>
  <w:style w:type="paragraph" w:customStyle="1" w:styleId="29">
    <w:name w:val="正文1"/>
    <w:basedOn w:val="1"/>
    <w:qFormat/>
    <w:uiPriority w:val="0"/>
    <w:pPr>
      <w:overflowPunct/>
      <w:textAlignment w:val="auto"/>
    </w:pPr>
    <w:rPr>
      <w:rFonts w:ascii="Arial" w:hAnsi="Arial"/>
      <w:sz w:val="20"/>
      <w:lang w:val="en-US"/>
    </w:rPr>
  </w:style>
  <w:style w:type="paragraph" w:customStyle="1" w:styleId="30">
    <w:name w:val="修订1"/>
    <w:hidden/>
    <w:semiHidden/>
    <w:qFormat/>
    <w:uiPriority w:val="99"/>
    <w:rPr>
      <w:rFonts w:ascii="Times New Roman" w:hAnsi="Times New Roman" w:eastAsia="宋体" w:cs="Times New Roman"/>
      <w:sz w:val="24"/>
      <w:lang w:val="en-GB" w:eastAsia="en-US" w:bidi="ar-SA"/>
    </w:rPr>
  </w:style>
  <w:style w:type="paragraph" w:styleId="31">
    <w:name w:val="List Paragraph"/>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2">
    <w:name w:val="批注文字 字符"/>
    <w:link w:val="6"/>
    <w:semiHidden/>
    <w:qFormat/>
    <w:uiPriority w:val="0"/>
    <w:rPr>
      <w:sz w:val="24"/>
      <w:lang w:val="en-GB" w:eastAsia="en-US"/>
    </w:rPr>
  </w:style>
  <w:style w:type="paragraph" w:customStyle="1" w:styleId="33">
    <w:name w:val="TOC 标题1"/>
    <w:basedOn w:val="2"/>
    <w:next w:val="1"/>
    <w:qFormat/>
    <w:uiPriority w:val="39"/>
    <w:pPr>
      <w:numPr>
        <w:numId w:val="0"/>
      </w:numPr>
      <w:outlineLvl w:val="9"/>
    </w:pPr>
  </w:style>
  <w:style w:type="character" w:customStyle="1" w:styleId="34">
    <w:name w:val="页脚 字符"/>
    <w:link w:val="13"/>
    <w:qFormat/>
    <w:uiPriority w:val="99"/>
    <w:rPr>
      <w:sz w:val="24"/>
      <w:lang w:val="en-GB" w:eastAsia="en-US"/>
    </w:rPr>
  </w:style>
  <w:style w:type="character" w:customStyle="1" w:styleId="35">
    <w:name w:val="instruction standard blue"/>
    <w:qFormat/>
    <w:uiPriority w:val="1"/>
    <w:rPr>
      <w:rFonts w:cs="Arial"/>
      <w:i/>
      <w:color w:val="0070C0"/>
    </w:rPr>
  </w:style>
  <w:style w:type="character" w:customStyle="1" w:styleId="36">
    <w:name w:val="keyword"/>
    <w:basedOn w:val="21"/>
    <w:qFormat/>
    <w:uiPriority w:val="0"/>
  </w:style>
  <w:style w:type="paragraph" w:customStyle="1" w:styleId="37">
    <w:name w:val="numbering blue"/>
    <w:basedOn w:val="1"/>
    <w:link w:val="38"/>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8">
    <w:name w:val="numbering blue Zchn"/>
    <w:link w:val="37"/>
    <w:qFormat/>
    <w:uiPriority w:val="0"/>
    <w:rPr>
      <w:rFonts w:ascii="Arial" w:hAnsi="Arial" w:eastAsia="PMingLiU"/>
      <w:color w:val="0070C0"/>
      <w:lang w:eastAsia="zh-TW"/>
    </w:rPr>
  </w:style>
  <w:style w:type="paragraph" w:customStyle="1" w:styleId="39">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0">
    <w:name w:val="Text Char"/>
    <w:link w:val="41"/>
    <w:qFormat/>
    <w:locked/>
    <w:uiPriority w:val="0"/>
    <w:rPr>
      <w:sz w:val="24"/>
      <w:lang w:eastAsia="en-US"/>
    </w:rPr>
  </w:style>
  <w:style w:type="paragraph" w:customStyle="1" w:styleId="41">
    <w:name w:val="Text"/>
    <w:basedOn w:val="1"/>
    <w:link w:val="40"/>
    <w:qFormat/>
    <w:uiPriority w:val="0"/>
    <w:pPr>
      <w:overflowPunct/>
      <w:autoSpaceDE/>
      <w:autoSpaceDN/>
      <w:adjustRightInd/>
      <w:spacing w:before="120"/>
      <w:jc w:val="both"/>
      <w:textAlignment w:val="auto"/>
    </w:pPr>
    <w:rPr>
      <w:lang w:val="en-US"/>
    </w:rPr>
  </w:style>
  <w:style w:type="character" w:customStyle="1" w:styleId="42">
    <w:name w:val="ordinary-span-edit2"/>
    <w:qFormat/>
    <w:uiPriority w:val="0"/>
  </w:style>
  <w:style w:type="character" w:customStyle="1" w:styleId="43">
    <w:name w:val="apple-converted-space"/>
    <w:basedOn w:val="21"/>
    <w:qFormat/>
    <w:uiPriority w:val="0"/>
  </w:style>
  <w:style w:type="character" w:customStyle="1" w:styleId="44">
    <w:name w:val="标题 字符"/>
    <w:link w:val="17"/>
    <w:qFormat/>
    <w:uiPriority w:val="0"/>
    <w:rPr>
      <w:rFonts w:ascii="Calibri Light" w:hAnsi="Calibri Light" w:cs="Times New Roman"/>
      <w:b/>
      <w:bCs/>
      <w:sz w:val="32"/>
      <w:szCs w:val="32"/>
      <w:lang w:val="en-GB" w:eastAsia="en-US"/>
    </w:rPr>
  </w:style>
  <w:style w:type="paragraph" w:customStyle="1" w:styleId="45">
    <w:name w:val="Table text"/>
    <w:basedOn w:val="1"/>
    <w:qFormat/>
    <w:uiPriority w:val="0"/>
    <w:pPr>
      <w:overflowPunct/>
      <w:autoSpaceDE/>
      <w:autoSpaceDN/>
      <w:adjustRightInd/>
      <w:spacing w:before="120" w:after="120"/>
      <w:jc w:val="both"/>
      <w:textAlignment w:val="auto"/>
    </w:pPr>
    <w:rPr>
      <w:lang w:val="en-US"/>
    </w:rPr>
  </w:style>
  <w:style w:type="character" w:customStyle="1" w:styleId="46">
    <w:name w:val="Footer Char"/>
    <w:basedOn w:val="21"/>
    <w:semiHidden/>
    <w:qFormat/>
    <w:locked/>
    <w:uiPriority w:val="0"/>
    <w:rPr>
      <w:rFonts w:cs="Times New Roman"/>
      <w:sz w:val="18"/>
      <w:szCs w:val="18"/>
    </w:rPr>
  </w:style>
  <w:style w:type="paragraph" w:customStyle="1" w:styleId="47">
    <w:name w:val="修订2"/>
    <w:hidden/>
    <w:semiHidden/>
    <w:uiPriority w:val="99"/>
    <w:rPr>
      <w:rFonts w:ascii="Times New Roman" w:hAnsi="Times New Roman" w:eastAsia="宋体" w:cs="Times New Roman"/>
      <w:sz w:val="21"/>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4317</Words>
  <Characters>1603</Characters>
  <Lines>13</Lines>
  <Paragraphs>11</Paragraphs>
  <TotalTime>4</TotalTime>
  <ScaleCrop>false</ScaleCrop>
  <LinksUpToDate>false</LinksUpToDate>
  <CharactersWithSpaces>5909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2022-07-05T07:21:00Z</dcterms:created>
  <dc:creator>Lilly</dc:creator>
  <cp:lastModifiedBy>汪洋</cp:lastModifiedBy>
  <cp:lastPrinted>2022-07-11T02:48:00Z</cp:lastPrinted>
  <dcterms:modified xsi:type="dcterms:W3CDTF">2022-07-18T09:10:37Z</dcterms:modified>
  <dc:title>生效期：</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CF25D41CEE424FB5A6A7BCA3BA267A42</vt:lpwstr>
  </property>
</Properties>
</file>