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Toc483227223"/>
      <w:bookmarkStart w:id="1" w:name="_Toc483400307"/>
      <w:bookmarkStart w:id="2" w:name="_Toc484532399"/>
      <w:bookmarkStart w:id="3" w:name="_Toc483666358"/>
      <w:bookmarkStart w:id="4" w:name="_Toc482717189"/>
    </w:p>
    <w:p>
      <w:pPr>
        <w:spacing w:after="158" w:afterLines="50"/>
        <w:jc w:val="center"/>
        <w:rPr>
          <w:b/>
          <w:szCs w:val="21"/>
          <w:lang w:eastAsia="zh-CN"/>
        </w:rPr>
      </w:pPr>
      <w:permStart w:id="0" w:edGrp="everyone"/>
      <w:r>
        <w:rPr>
          <w:rFonts w:hint="eastAsia" w:ascii="宋体" w:hAnsi="宋体"/>
          <w:b/>
          <w:sz w:val="28"/>
          <w:szCs w:val="28"/>
          <w:lang w:val="en-US" w:eastAsia="zh-CN"/>
        </w:rPr>
        <w:t>联合疫苗楼百日咳车间电热恒温净化干热灭菌箱(组分)</w:t>
      </w:r>
      <w:permEnd w:id="0"/>
      <w:r>
        <w:rPr>
          <w:b/>
          <w:sz w:val="28"/>
          <w:szCs w:val="28"/>
          <w:lang w:eastAsia="zh-CN"/>
        </w:rPr>
        <w:t>用户需求说明（URS</w:t>
      </w:r>
      <w:r>
        <w:rPr>
          <w:b/>
          <w:szCs w:val="21"/>
          <w:lang w:eastAsia="zh-CN"/>
        </w:rPr>
        <w:t>）</w:t>
      </w:r>
      <w:bookmarkEnd w:id="0"/>
      <w:bookmarkEnd w:id="1"/>
      <w:bookmarkEnd w:id="2"/>
      <w:bookmarkEnd w:id="3"/>
      <w:bookmarkEnd w:id="4"/>
    </w:p>
    <w:p>
      <w:pPr>
        <w:pStyle w:val="33"/>
        <w:keepNext w:val="0"/>
        <w:keepLines w:val="0"/>
        <w:widowControl w:val="0"/>
        <w:spacing w:after="158" w:afterLines="50" w:line="240" w:lineRule="auto"/>
        <w:jc w:val="center"/>
        <w:rPr>
          <w:sz w:val="21"/>
          <w:szCs w:val="21"/>
          <w:lang w:val="zh-CN" w:eastAsia="zh-CN"/>
        </w:rPr>
      </w:pPr>
      <w:permStart w:id="1" w:edGrp="everyone"/>
      <w:permEnd w:id="1"/>
      <w:r>
        <w:rPr>
          <w:sz w:val="21"/>
          <w:szCs w:val="21"/>
          <w:lang w:val="zh-CN" w:eastAsia="zh-CN"/>
        </w:rPr>
        <w:t>目录</w:t>
      </w:r>
    </w:p>
    <w:p>
      <w:pPr>
        <w:rPr>
          <w:i/>
          <w:color w:val="00B0F0"/>
          <w:lang w:val="zh-CN" w:eastAsia="zh-CN"/>
        </w:rPr>
      </w:pPr>
      <w:permStart w:id="2" w:edGrp="everyone"/>
    </w:p>
    <w:p>
      <w:pPr>
        <w:pStyle w:val="15"/>
        <w:rPr>
          <w:b w:val="0"/>
          <w:bCs w:val="0"/>
          <w:caps w:val="0"/>
          <w:szCs w:val="22"/>
        </w:rPr>
      </w:pPr>
      <w:r>
        <w:fldChar w:fldCharType="begin"/>
      </w:r>
      <w:r>
        <w:instrText xml:space="preserve"> TOC \o "1-2" \h \z \u </w:instrText>
      </w:r>
      <w:r>
        <w:fldChar w:fldCharType="separate"/>
      </w:r>
      <w:r>
        <w:fldChar w:fldCharType="begin"/>
      </w:r>
      <w:r>
        <w:instrText xml:space="preserve"> HYPERLINK \l "_Toc522716114" </w:instrText>
      </w:r>
      <w:r>
        <w:fldChar w:fldCharType="separate"/>
      </w:r>
      <w:r>
        <w:rPr>
          <w:rStyle w:val="23"/>
        </w:rPr>
        <w:t>修订历史</w:t>
      </w:r>
      <w:r>
        <w:tab/>
      </w:r>
      <w:r>
        <w:fldChar w:fldCharType="begin"/>
      </w:r>
      <w:r>
        <w:instrText xml:space="preserve"> PAGEREF _Toc522716114 \h </w:instrText>
      </w:r>
      <w:r>
        <w:fldChar w:fldCharType="separate"/>
      </w:r>
      <w:r>
        <w:t>3</w:t>
      </w:r>
      <w:r>
        <w:fldChar w:fldCharType="end"/>
      </w:r>
      <w:r>
        <w:fldChar w:fldCharType="end"/>
      </w:r>
    </w:p>
    <w:p>
      <w:pPr>
        <w:pStyle w:val="15"/>
        <w:rPr>
          <w:b w:val="0"/>
          <w:bCs w:val="0"/>
          <w:caps w:val="0"/>
          <w:szCs w:val="22"/>
        </w:rPr>
      </w:pPr>
      <w:r>
        <w:fldChar w:fldCharType="begin"/>
      </w:r>
      <w:r>
        <w:instrText xml:space="preserve"> HYPERLINK \l "_Toc522716115" </w:instrText>
      </w:r>
      <w:r>
        <w:fldChar w:fldCharType="separate"/>
      </w:r>
      <w:r>
        <w:rPr>
          <w:rStyle w:val="23"/>
        </w:rPr>
        <w:t>1</w:t>
      </w:r>
      <w:r>
        <w:rPr>
          <w:b w:val="0"/>
          <w:bCs w:val="0"/>
          <w:caps w:val="0"/>
          <w:szCs w:val="22"/>
        </w:rPr>
        <w:tab/>
      </w:r>
      <w:r>
        <w:rPr>
          <w:rStyle w:val="23"/>
        </w:rPr>
        <w:t>目的</w:t>
      </w:r>
      <w:r>
        <w:tab/>
      </w:r>
      <w:r>
        <w:fldChar w:fldCharType="begin"/>
      </w:r>
      <w:r>
        <w:instrText xml:space="preserve"> PAGEREF _Toc522716115 \h </w:instrText>
      </w:r>
      <w:r>
        <w:fldChar w:fldCharType="separate"/>
      </w:r>
      <w:r>
        <w:t>4</w:t>
      </w:r>
      <w:r>
        <w:fldChar w:fldCharType="end"/>
      </w:r>
      <w:r>
        <w:fldChar w:fldCharType="end"/>
      </w:r>
    </w:p>
    <w:p>
      <w:pPr>
        <w:pStyle w:val="15"/>
        <w:rPr>
          <w:b w:val="0"/>
          <w:bCs w:val="0"/>
          <w:caps w:val="0"/>
          <w:szCs w:val="22"/>
        </w:rPr>
      </w:pPr>
      <w:r>
        <w:fldChar w:fldCharType="begin"/>
      </w:r>
      <w:r>
        <w:instrText xml:space="preserve"> HYPERLINK \l "_Toc522716116" </w:instrText>
      </w:r>
      <w:r>
        <w:fldChar w:fldCharType="separate"/>
      </w:r>
      <w:r>
        <w:rPr>
          <w:rStyle w:val="23"/>
        </w:rPr>
        <w:t>2</w:t>
      </w:r>
      <w:r>
        <w:rPr>
          <w:b w:val="0"/>
          <w:bCs w:val="0"/>
          <w:caps w:val="0"/>
          <w:szCs w:val="22"/>
        </w:rPr>
        <w:tab/>
      </w:r>
      <w:r>
        <w:rPr>
          <w:rStyle w:val="23"/>
        </w:rPr>
        <w:t>范围</w:t>
      </w:r>
      <w:r>
        <w:tab/>
      </w:r>
      <w:r>
        <w:fldChar w:fldCharType="begin"/>
      </w:r>
      <w:r>
        <w:instrText xml:space="preserve"> PAGEREF _Toc522716116 \h </w:instrText>
      </w:r>
      <w:r>
        <w:fldChar w:fldCharType="separate"/>
      </w:r>
      <w:r>
        <w:t>4</w:t>
      </w:r>
      <w:r>
        <w:fldChar w:fldCharType="end"/>
      </w:r>
      <w:r>
        <w:fldChar w:fldCharType="end"/>
      </w:r>
    </w:p>
    <w:p>
      <w:pPr>
        <w:pStyle w:val="15"/>
        <w:rPr>
          <w:b w:val="0"/>
          <w:bCs w:val="0"/>
          <w:caps w:val="0"/>
          <w:szCs w:val="22"/>
        </w:rPr>
      </w:pPr>
      <w:r>
        <w:fldChar w:fldCharType="begin"/>
      </w:r>
      <w:r>
        <w:instrText xml:space="preserve"> HYPERLINK \l "_Toc522716117" </w:instrText>
      </w:r>
      <w:r>
        <w:fldChar w:fldCharType="separate"/>
      </w:r>
      <w:r>
        <w:rPr>
          <w:rStyle w:val="23"/>
        </w:rPr>
        <w:t>3</w:t>
      </w:r>
      <w:r>
        <w:rPr>
          <w:b w:val="0"/>
          <w:bCs w:val="0"/>
          <w:caps w:val="0"/>
          <w:szCs w:val="22"/>
        </w:rPr>
        <w:tab/>
      </w:r>
      <w:r>
        <w:rPr>
          <w:rStyle w:val="23"/>
        </w:rPr>
        <w:t>参考文件</w:t>
      </w:r>
      <w:r>
        <w:tab/>
      </w:r>
      <w:r>
        <w:fldChar w:fldCharType="begin"/>
      </w:r>
      <w:r>
        <w:instrText xml:space="preserve"> PAGEREF _Toc522716117 \h </w:instrText>
      </w:r>
      <w:r>
        <w:fldChar w:fldCharType="separate"/>
      </w:r>
      <w:r>
        <w:t>4</w:t>
      </w:r>
      <w:r>
        <w:fldChar w:fldCharType="end"/>
      </w:r>
      <w:r>
        <w:fldChar w:fldCharType="end"/>
      </w:r>
    </w:p>
    <w:p>
      <w:pPr>
        <w:pStyle w:val="15"/>
        <w:rPr>
          <w:b w:val="0"/>
          <w:bCs w:val="0"/>
          <w:caps w:val="0"/>
          <w:szCs w:val="22"/>
        </w:rPr>
      </w:pPr>
      <w:r>
        <w:fldChar w:fldCharType="begin"/>
      </w:r>
      <w:r>
        <w:instrText xml:space="preserve"> HYPERLINK \l "_Toc522716118" </w:instrText>
      </w:r>
      <w:r>
        <w:fldChar w:fldCharType="separate"/>
      </w:r>
      <w:r>
        <w:rPr>
          <w:rStyle w:val="23"/>
        </w:rPr>
        <w:t>4</w:t>
      </w:r>
      <w:r>
        <w:rPr>
          <w:b w:val="0"/>
          <w:bCs w:val="0"/>
          <w:caps w:val="0"/>
          <w:szCs w:val="22"/>
        </w:rPr>
        <w:tab/>
      </w:r>
      <w:r>
        <w:rPr>
          <w:rStyle w:val="23"/>
        </w:rPr>
        <w:t>职责</w:t>
      </w:r>
      <w:r>
        <w:tab/>
      </w:r>
      <w:r>
        <w:fldChar w:fldCharType="begin"/>
      </w:r>
      <w:r>
        <w:instrText xml:space="preserve"> PAGEREF _Toc522716118 \h </w:instrText>
      </w:r>
      <w:r>
        <w:fldChar w:fldCharType="separate"/>
      </w:r>
      <w:r>
        <w:t>4</w:t>
      </w:r>
      <w:r>
        <w:fldChar w:fldCharType="end"/>
      </w:r>
      <w:r>
        <w:fldChar w:fldCharType="end"/>
      </w:r>
    </w:p>
    <w:p>
      <w:pPr>
        <w:pStyle w:val="15"/>
        <w:rPr>
          <w:b w:val="0"/>
          <w:bCs w:val="0"/>
          <w:caps w:val="0"/>
          <w:szCs w:val="22"/>
        </w:rPr>
      </w:pPr>
      <w:r>
        <w:fldChar w:fldCharType="begin"/>
      </w:r>
      <w:r>
        <w:instrText xml:space="preserve"> HYPERLINK \l "_Toc522716119" </w:instrText>
      </w:r>
      <w:r>
        <w:fldChar w:fldCharType="separate"/>
      </w:r>
      <w:r>
        <w:rPr>
          <w:rStyle w:val="23"/>
        </w:rPr>
        <w:t>5</w:t>
      </w:r>
      <w:r>
        <w:rPr>
          <w:b w:val="0"/>
          <w:bCs w:val="0"/>
          <w:caps w:val="0"/>
          <w:szCs w:val="22"/>
        </w:rPr>
        <w:tab/>
      </w:r>
      <w:r>
        <w:rPr>
          <w:rStyle w:val="23"/>
        </w:rPr>
        <w:t>系统描述</w:t>
      </w:r>
      <w:r>
        <w:tab/>
      </w:r>
      <w:r>
        <w:fldChar w:fldCharType="begin"/>
      </w:r>
      <w:r>
        <w:instrText xml:space="preserve"> PAGEREF _Toc522716119 \h </w:instrText>
      </w:r>
      <w:r>
        <w:fldChar w:fldCharType="separate"/>
      </w:r>
      <w:r>
        <w:t>5</w:t>
      </w:r>
      <w:r>
        <w:fldChar w:fldCharType="end"/>
      </w:r>
      <w:r>
        <w:fldChar w:fldCharType="end"/>
      </w:r>
    </w:p>
    <w:p>
      <w:pPr>
        <w:pStyle w:val="15"/>
        <w:rPr>
          <w:b w:val="0"/>
          <w:bCs w:val="0"/>
          <w:caps w:val="0"/>
          <w:szCs w:val="22"/>
        </w:rPr>
      </w:pPr>
      <w:r>
        <w:fldChar w:fldCharType="begin"/>
      </w:r>
      <w:r>
        <w:instrText xml:space="preserve"> HYPERLINK \l "_Toc522716120" </w:instrText>
      </w:r>
      <w:r>
        <w:fldChar w:fldCharType="separate"/>
      </w:r>
      <w:r>
        <w:rPr>
          <w:rStyle w:val="23"/>
        </w:rPr>
        <w:t>6</w:t>
      </w:r>
      <w:r>
        <w:rPr>
          <w:b w:val="0"/>
          <w:bCs w:val="0"/>
          <w:caps w:val="0"/>
          <w:szCs w:val="22"/>
        </w:rPr>
        <w:tab/>
      </w:r>
      <w:r>
        <w:rPr>
          <w:rStyle w:val="23"/>
        </w:rPr>
        <w:t>安装要求</w:t>
      </w:r>
      <w:r>
        <w:tab/>
      </w:r>
      <w:r>
        <w:fldChar w:fldCharType="begin"/>
      </w:r>
      <w:r>
        <w:instrText xml:space="preserve"> PAGEREF _Toc522716120 \h </w:instrText>
      </w:r>
      <w:r>
        <w:fldChar w:fldCharType="separate"/>
      </w:r>
      <w:r>
        <w:t>5</w:t>
      </w:r>
      <w:r>
        <w:fldChar w:fldCharType="end"/>
      </w:r>
      <w:r>
        <w:fldChar w:fldCharType="end"/>
      </w:r>
    </w:p>
    <w:p>
      <w:pPr>
        <w:pStyle w:val="15"/>
        <w:rPr>
          <w:b w:val="0"/>
          <w:bCs w:val="0"/>
          <w:caps w:val="0"/>
          <w:szCs w:val="22"/>
        </w:rPr>
      </w:pPr>
      <w:r>
        <w:fldChar w:fldCharType="begin"/>
      </w:r>
      <w:r>
        <w:instrText xml:space="preserve"> HYPERLINK \l "_Toc522716121" </w:instrText>
      </w:r>
      <w:r>
        <w:fldChar w:fldCharType="separate"/>
      </w:r>
      <w:r>
        <w:rPr>
          <w:rStyle w:val="23"/>
        </w:rPr>
        <w:t>7</w:t>
      </w:r>
      <w:r>
        <w:rPr>
          <w:b w:val="0"/>
          <w:bCs w:val="0"/>
          <w:caps w:val="0"/>
          <w:szCs w:val="22"/>
        </w:rPr>
        <w:tab/>
      </w:r>
      <w:r>
        <w:rPr>
          <w:rStyle w:val="23"/>
        </w:rPr>
        <w:t>运行要求</w:t>
      </w:r>
      <w:r>
        <w:tab/>
      </w:r>
      <w:r>
        <w:fldChar w:fldCharType="begin"/>
      </w:r>
      <w:r>
        <w:instrText xml:space="preserve"> PAGEREF _Toc522716121 \h </w:instrText>
      </w:r>
      <w:r>
        <w:fldChar w:fldCharType="separate"/>
      </w:r>
      <w:r>
        <w:t>8</w:t>
      </w:r>
      <w:r>
        <w:fldChar w:fldCharType="end"/>
      </w:r>
      <w:r>
        <w:fldChar w:fldCharType="end"/>
      </w:r>
    </w:p>
    <w:p>
      <w:pPr>
        <w:pStyle w:val="15"/>
        <w:rPr>
          <w:b w:val="0"/>
          <w:bCs w:val="0"/>
          <w:caps w:val="0"/>
          <w:szCs w:val="22"/>
        </w:rPr>
      </w:pPr>
      <w:r>
        <w:fldChar w:fldCharType="begin"/>
      </w:r>
      <w:r>
        <w:instrText xml:space="preserve"> HYPERLINK \l "_Toc522716122" </w:instrText>
      </w:r>
      <w:r>
        <w:fldChar w:fldCharType="separate"/>
      </w:r>
      <w:r>
        <w:rPr>
          <w:rStyle w:val="23"/>
        </w:rPr>
        <w:t>8</w:t>
      </w:r>
      <w:r>
        <w:rPr>
          <w:b w:val="0"/>
          <w:bCs w:val="0"/>
          <w:caps w:val="0"/>
          <w:szCs w:val="22"/>
        </w:rPr>
        <w:tab/>
      </w:r>
      <w:r>
        <w:rPr>
          <w:rStyle w:val="23"/>
        </w:rPr>
        <w:t>电气、自动控制要求</w:t>
      </w:r>
      <w:r>
        <w:tab/>
      </w:r>
      <w:r>
        <w:fldChar w:fldCharType="begin"/>
      </w:r>
      <w:r>
        <w:instrText xml:space="preserve"> PAGEREF _Toc522716122 \h </w:instrText>
      </w:r>
      <w:r>
        <w:fldChar w:fldCharType="separate"/>
      </w:r>
      <w:r>
        <w:t>11</w:t>
      </w:r>
      <w:r>
        <w:fldChar w:fldCharType="end"/>
      </w:r>
      <w:r>
        <w:fldChar w:fldCharType="end"/>
      </w:r>
    </w:p>
    <w:p>
      <w:pPr>
        <w:pStyle w:val="15"/>
        <w:rPr>
          <w:b w:val="0"/>
          <w:bCs w:val="0"/>
          <w:caps w:val="0"/>
          <w:szCs w:val="22"/>
        </w:rPr>
      </w:pPr>
      <w:r>
        <w:fldChar w:fldCharType="begin"/>
      </w:r>
      <w:r>
        <w:instrText xml:space="preserve"> HYPERLINK \l "_Toc522716123" </w:instrText>
      </w:r>
      <w:r>
        <w:fldChar w:fldCharType="separate"/>
      </w:r>
      <w:r>
        <w:rPr>
          <w:rStyle w:val="23"/>
        </w:rPr>
        <w:t>9</w:t>
      </w:r>
      <w:r>
        <w:rPr>
          <w:b w:val="0"/>
          <w:bCs w:val="0"/>
          <w:caps w:val="0"/>
          <w:szCs w:val="22"/>
        </w:rPr>
        <w:tab/>
      </w:r>
      <w:r>
        <w:rPr>
          <w:rStyle w:val="23"/>
        </w:rPr>
        <w:t>安全要求</w:t>
      </w:r>
      <w:r>
        <w:tab/>
      </w:r>
      <w:r>
        <w:fldChar w:fldCharType="begin"/>
      </w:r>
      <w:r>
        <w:instrText xml:space="preserve"> PAGEREF _Toc522716123 \h </w:instrText>
      </w:r>
      <w:r>
        <w:fldChar w:fldCharType="separate"/>
      </w:r>
      <w:r>
        <w:t>16</w:t>
      </w:r>
      <w:r>
        <w:fldChar w:fldCharType="end"/>
      </w:r>
      <w:r>
        <w:fldChar w:fldCharType="end"/>
      </w:r>
    </w:p>
    <w:p>
      <w:pPr>
        <w:pStyle w:val="15"/>
        <w:rPr>
          <w:b w:val="0"/>
          <w:bCs w:val="0"/>
          <w:caps w:val="0"/>
          <w:szCs w:val="22"/>
        </w:rPr>
      </w:pPr>
      <w:r>
        <w:fldChar w:fldCharType="begin"/>
      </w:r>
      <w:r>
        <w:instrText xml:space="preserve"> HYPERLINK \l "_Toc522716124" </w:instrText>
      </w:r>
      <w:r>
        <w:fldChar w:fldCharType="separate"/>
      </w:r>
      <w:r>
        <w:rPr>
          <w:rStyle w:val="23"/>
        </w:rPr>
        <w:t>10</w:t>
      </w:r>
      <w:r>
        <w:rPr>
          <w:b w:val="0"/>
          <w:bCs w:val="0"/>
          <w:caps w:val="0"/>
          <w:szCs w:val="22"/>
        </w:rPr>
        <w:tab/>
      </w:r>
      <w:r>
        <w:rPr>
          <w:rStyle w:val="23"/>
        </w:rPr>
        <w:t>文件要求</w:t>
      </w:r>
      <w:r>
        <w:tab/>
      </w:r>
      <w:r>
        <w:fldChar w:fldCharType="begin"/>
      </w:r>
      <w:r>
        <w:instrText xml:space="preserve"> PAGEREF _Toc522716124 \h </w:instrText>
      </w:r>
      <w:r>
        <w:fldChar w:fldCharType="separate"/>
      </w:r>
      <w:r>
        <w:t>17</w:t>
      </w:r>
      <w:r>
        <w:fldChar w:fldCharType="end"/>
      </w:r>
      <w:r>
        <w:fldChar w:fldCharType="end"/>
      </w:r>
    </w:p>
    <w:p>
      <w:pPr>
        <w:pStyle w:val="15"/>
        <w:rPr>
          <w:b w:val="0"/>
          <w:bCs w:val="0"/>
          <w:caps w:val="0"/>
          <w:szCs w:val="22"/>
        </w:rPr>
      </w:pPr>
      <w:r>
        <w:fldChar w:fldCharType="begin"/>
      </w:r>
      <w:r>
        <w:instrText xml:space="preserve"> HYPERLINK \l "_Toc522716125" </w:instrText>
      </w:r>
      <w:r>
        <w:fldChar w:fldCharType="separate"/>
      </w:r>
      <w:r>
        <w:rPr>
          <w:rStyle w:val="23"/>
        </w:rPr>
        <w:t>11</w:t>
      </w:r>
      <w:r>
        <w:rPr>
          <w:b w:val="0"/>
          <w:bCs w:val="0"/>
          <w:caps w:val="0"/>
          <w:szCs w:val="22"/>
        </w:rPr>
        <w:tab/>
      </w:r>
      <w:r>
        <w:rPr>
          <w:rStyle w:val="23"/>
        </w:rPr>
        <w:t>服务要求</w:t>
      </w:r>
      <w:r>
        <w:tab/>
      </w:r>
      <w:r>
        <w:fldChar w:fldCharType="begin"/>
      </w:r>
      <w:r>
        <w:instrText xml:space="preserve"> PAGEREF _Toc522716125 \h </w:instrText>
      </w:r>
      <w:r>
        <w:fldChar w:fldCharType="separate"/>
      </w:r>
      <w:r>
        <w:t>19</w:t>
      </w:r>
      <w:r>
        <w:fldChar w:fldCharType="end"/>
      </w:r>
      <w:r>
        <w:fldChar w:fldCharType="end"/>
      </w:r>
    </w:p>
    <w:p>
      <w:pPr>
        <w:pStyle w:val="15"/>
        <w:rPr>
          <w:b w:val="0"/>
          <w:bCs w:val="0"/>
          <w:caps w:val="0"/>
          <w:szCs w:val="22"/>
        </w:rPr>
      </w:pPr>
      <w:r>
        <w:fldChar w:fldCharType="begin"/>
      </w:r>
      <w:r>
        <w:instrText xml:space="preserve"> HYPERLINK \l "_Toc522716126" </w:instrText>
      </w:r>
      <w:r>
        <w:fldChar w:fldCharType="separate"/>
      </w:r>
      <w:r>
        <w:rPr>
          <w:rStyle w:val="23"/>
        </w:rPr>
        <w:t>12</w:t>
      </w:r>
      <w:r>
        <w:rPr>
          <w:b w:val="0"/>
          <w:bCs w:val="0"/>
          <w:caps w:val="0"/>
          <w:szCs w:val="22"/>
        </w:rPr>
        <w:tab/>
      </w:r>
      <w:r>
        <w:rPr>
          <w:rStyle w:val="23"/>
        </w:rPr>
        <w:t>附件</w:t>
      </w:r>
      <w:r>
        <w:tab/>
      </w:r>
      <w:r>
        <w:fldChar w:fldCharType="begin"/>
      </w:r>
      <w:r>
        <w:instrText xml:space="preserve"> PAGEREF _Toc522716126 \h </w:instrText>
      </w:r>
      <w:r>
        <w:fldChar w:fldCharType="separate"/>
      </w:r>
      <w:r>
        <w:t>21</w:t>
      </w:r>
      <w:r>
        <w:fldChar w:fldCharType="end"/>
      </w:r>
      <w:r>
        <w:fldChar w:fldCharType="end"/>
      </w:r>
    </w:p>
    <w:p>
      <w:r>
        <w:fldChar w:fldCharType="end"/>
      </w:r>
      <w:permEnd w:id="2"/>
    </w:p>
    <w:p>
      <w:pPr>
        <w:rPr>
          <w:b/>
          <w:bCs/>
          <w:caps/>
          <w:kern w:val="2"/>
          <w:szCs w:val="21"/>
          <w:lang w:eastAsia="zh-CN"/>
        </w:rPr>
      </w:pPr>
      <w:r>
        <w:rPr>
          <w:b/>
          <w:bCs/>
          <w:caps/>
          <w:kern w:val="2"/>
          <w:szCs w:val="21"/>
          <w:lang w:eastAsia="zh-CN"/>
        </w:rPr>
        <w:br w:type="page"/>
      </w:r>
    </w:p>
    <w:p>
      <w:pPr>
        <w:pStyle w:val="31"/>
        <w:numPr>
          <w:ilvl w:val="0"/>
          <w:numId w:val="3"/>
        </w:numPr>
        <w:spacing w:after="158" w:afterLines="50"/>
        <w:ind w:left="426" w:hanging="426" w:hangingChars="202"/>
        <w:outlineLvl w:val="0"/>
        <w:rPr>
          <w:rFonts w:ascii="Times New Roman" w:hAnsi="Times New Roman"/>
          <w:b/>
        </w:rPr>
      </w:pPr>
      <w:bookmarkStart w:id="5" w:name="_Toc522107735"/>
      <w:bookmarkStart w:id="6" w:name="_Toc522716115"/>
      <w:r>
        <w:rPr>
          <w:rFonts w:ascii="Times New Roman" w:hAnsi="Times New Roman"/>
          <w:b/>
        </w:rPr>
        <w:t>目的</w:t>
      </w:r>
      <w:bookmarkEnd w:id="5"/>
      <w:bookmarkEnd w:id="6"/>
    </w:p>
    <w:p>
      <w:pPr>
        <w:pStyle w:val="41"/>
        <w:spacing w:before="0" w:line="360" w:lineRule="auto"/>
        <w:ind w:left="357"/>
        <w:jc w:val="left"/>
        <w:rPr>
          <w:szCs w:val="21"/>
          <w:lang w:eastAsia="zh-CN"/>
        </w:rPr>
      </w:pPr>
      <w:bookmarkStart w:id="7" w:name="_Toc482370349"/>
      <w:bookmarkStart w:id="8" w:name="_Toc482370061"/>
      <w:bookmarkStart w:id="9" w:name="_Toc482360281"/>
      <w:bookmarkStart w:id="10" w:name="_Toc482369805"/>
      <w:bookmarkStart w:id="11" w:name="_Toc481702475"/>
      <w:bookmarkStart w:id="12" w:name="_Toc482359936"/>
      <w:bookmarkStart w:id="13" w:name="_Toc482370141"/>
      <w:bookmarkStart w:id="14" w:name="_Toc482625279"/>
      <w:bookmarkStart w:id="15" w:name="_Toc482370757"/>
      <w:r>
        <w:rPr>
          <w:szCs w:val="21"/>
          <w:lang w:eastAsia="zh-CN"/>
        </w:rPr>
        <w:t>本文件的目的是描述武汉生物制品研究所有限责任公司</w:t>
      </w:r>
      <w:permStart w:id="3" w:edGrp="everyone"/>
      <w:r>
        <w:rPr>
          <w:rFonts w:hint="eastAsia"/>
          <w:szCs w:val="21"/>
          <w:lang w:eastAsia="zh-CN"/>
        </w:rPr>
        <w:t>联合疫苗楼百日咳车间电热恒温净化干热灭菌箱(组分)</w:t>
      </w:r>
      <w:permEnd w:id="3"/>
      <w:r>
        <w:rPr>
          <w:szCs w:val="21"/>
          <w:lang w:eastAsia="zh-CN"/>
        </w:rPr>
        <w:t>的用户需求说明（URS），以确保最终用户的需求在项目设计阶段得以实现，并作为后续验证工作的基础。</w:t>
      </w:r>
    </w:p>
    <w:p>
      <w:pPr>
        <w:pStyle w:val="41"/>
        <w:spacing w:before="0"/>
        <w:ind w:left="360"/>
        <w:rPr>
          <w:szCs w:val="21"/>
          <w:lang w:eastAsia="zh-CN"/>
        </w:rPr>
      </w:pPr>
    </w:p>
    <w:p>
      <w:pPr>
        <w:pStyle w:val="31"/>
        <w:numPr>
          <w:ilvl w:val="0"/>
          <w:numId w:val="3"/>
        </w:numPr>
        <w:spacing w:after="158" w:afterLines="50"/>
        <w:ind w:left="426" w:hanging="426" w:hangingChars="202"/>
        <w:outlineLvl w:val="0"/>
        <w:rPr>
          <w:rFonts w:ascii="Times New Roman" w:hAnsi="Times New Roman"/>
          <w:b/>
        </w:rPr>
      </w:pPr>
      <w:bookmarkStart w:id="16" w:name="_Toc522716116"/>
      <w:bookmarkStart w:id="17" w:name="_Toc522107736"/>
      <w:r>
        <w:rPr>
          <w:rFonts w:ascii="Times New Roman" w:hAnsi="Times New Roman"/>
          <w:b/>
        </w:rPr>
        <w:t>范围</w:t>
      </w:r>
      <w:bookmarkEnd w:id="16"/>
      <w:bookmarkEnd w:id="17"/>
    </w:p>
    <w:p>
      <w:pPr>
        <w:pStyle w:val="41"/>
        <w:spacing w:before="0" w:line="360" w:lineRule="auto"/>
        <w:ind w:left="357"/>
        <w:jc w:val="left"/>
        <w:rPr>
          <w:szCs w:val="21"/>
          <w:lang w:eastAsia="zh-CN"/>
        </w:rPr>
      </w:pPr>
      <w:r>
        <w:rPr>
          <w:szCs w:val="21"/>
          <w:lang w:eastAsia="zh-CN"/>
        </w:rPr>
        <w:t>本URS适用于武汉生物制品研究所有限责任公司</w:t>
      </w:r>
      <w:permStart w:id="4" w:edGrp="everyone"/>
      <w:r>
        <w:rPr>
          <w:rFonts w:hint="eastAsia"/>
          <w:szCs w:val="21"/>
          <w:lang w:eastAsia="zh-CN"/>
        </w:rPr>
        <w:t>联合疫苗大楼百日咳车间电热恒温净化干热灭菌箱(组分)</w:t>
      </w:r>
      <w:permEnd w:id="4"/>
      <w:r>
        <w:rPr>
          <w:szCs w:val="21"/>
          <w:lang w:eastAsia="zh-CN"/>
        </w:rPr>
        <w:t>。</w:t>
      </w:r>
      <w:bookmarkEnd w:id="7"/>
      <w:bookmarkEnd w:id="8"/>
      <w:bookmarkEnd w:id="9"/>
      <w:bookmarkEnd w:id="10"/>
      <w:bookmarkEnd w:id="11"/>
      <w:bookmarkEnd w:id="12"/>
      <w:bookmarkEnd w:id="13"/>
      <w:bookmarkEnd w:id="14"/>
      <w:bookmarkEnd w:id="15"/>
    </w:p>
    <w:p>
      <w:pPr>
        <w:pStyle w:val="41"/>
        <w:spacing w:before="0" w:line="360" w:lineRule="auto"/>
        <w:ind w:left="357"/>
        <w:jc w:val="left"/>
        <w:rPr>
          <w:szCs w:val="21"/>
          <w:lang w:eastAsia="zh-CN"/>
        </w:rPr>
      </w:pPr>
    </w:p>
    <w:p>
      <w:pPr>
        <w:pStyle w:val="31"/>
        <w:numPr>
          <w:ilvl w:val="0"/>
          <w:numId w:val="3"/>
        </w:numPr>
        <w:spacing w:after="158" w:afterLines="50"/>
        <w:ind w:left="426" w:hanging="426" w:hangingChars="202"/>
        <w:outlineLvl w:val="0"/>
        <w:rPr>
          <w:rFonts w:ascii="Times New Roman" w:hAnsi="Times New Roman"/>
          <w:b/>
        </w:rPr>
      </w:pPr>
      <w:bookmarkStart w:id="18" w:name="_Toc522716117"/>
      <w:bookmarkStart w:id="19" w:name="_Toc522107737"/>
      <w:r>
        <w:rPr>
          <w:rFonts w:ascii="Times New Roman" w:hAnsi="Times New Roman"/>
          <w:b/>
        </w:rPr>
        <w:t>参考文件</w:t>
      </w:r>
      <w:bookmarkEnd w:id="18"/>
      <w:bookmarkEnd w:id="19"/>
    </w:p>
    <w:p>
      <w:pPr>
        <w:pStyle w:val="41"/>
        <w:numPr>
          <w:ilvl w:val="0"/>
          <w:numId w:val="4"/>
        </w:numPr>
        <w:spacing w:before="0" w:line="360" w:lineRule="auto"/>
        <w:jc w:val="left"/>
        <w:rPr>
          <w:color w:val="000000"/>
          <w:szCs w:val="21"/>
          <w:lang w:eastAsia="zh-CN"/>
        </w:rPr>
      </w:pPr>
      <w:r>
        <w:rPr>
          <w:color w:val="000000"/>
          <w:szCs w:val="21"/>
          <w:lang w:eastAsia="zh-CN"/>
        </w:rPr>
        <w:t>GMP法规指南和SOP</w:t>
      </w:r>
    </w:p>
    <w:p>
      <w:pPr>
        <w:pStyle w:val="41"/>
        <w:numPr>
          <w:ilvl w:val="0"/>
          <w:numId w:val="5"/>
        </w:numPr>
        <w:spacing w:before="0" w:line="360" w:lineRule="auto"/>
        <w:ind w:left="777"/>
        <w:jc w:val="left"/>
        <w:rPr>
          <w:color w:val="4472C4"/>
          <w:szCs w:val="21"/>
          <w:lang w:eastAsia="zh-CN"/>
        </w:rPr>
      </w:pPr>
      <w:r>
        <w:rPr>
          <w:color w:val="000000"/>
          <w:szCs w:val="21"/>
          <w:lang w:eastAsia="zh-CN"/>
        </w:rPr>
        <w:t>SOP-06-12-0005 用户需求编写审批SOP</w:t>
      </w:r>
    </w:p>
    <w:p>
      <w:pPr>
        <w:pStyle w:val="41"/>
        <w:numPr>
          <w:ilvl w:val="0"/>
          <w:numId w:val="5"/>
        </w:numPr>
        <w:spacing w:before="0" w:line="360" w:lineRule="auto"/>
        <w:ind w:left="777"/>
        <w:jc w:val="left"/>
        <w:rPr>
          <w:szCs w:val="21"/>
          <w:lang w:eastAsia="zh-CN"/>
        </w:rPr>
      </w:pPr>
      <w:permStart w:id="5" w:edGrp="everyone"/>
      <w:r>
        <w:rPr>
          <w:rFonts w:hint="eastAsia"/>
          <w:szCs w:val="21"/>
          <w:lang w:eastAsia="zh-CN"/>
        </w:rPr>
        <w:t>中华人民共和国</w:t>
      </w:r>
      <w:r>
        <w:rPr>
          <w:szCs w:val="21"/>
          <w:lang w:eastAsia="zh-CN"/>
        </w:rPr>
        <w:t>药典</w:t>
      </w:r>
      <w:r>
        <w:rPr>
          <w:rFonts w:hint="eastAsia"/>
          <w:szCs w:val="21"/>
          <w:lang w:eastAsia="zh-CN"/>
        </w:rPr>
        <w:t>（</w:t>
      </w:r>
      <w:r>
        <w:rPr>
          <w:szCs w:val="21"/>
          <w:lang w:eastAsia="zh-CN"/>
        </w:rPr>
        <w:t>2020年版</w:t>
      </w:r>
      <w:r>
        <w:rPr>
          <w:rFonts w:hint="eastAsia"/>
          <w:szCs w:val="21"/>
          <w:lang w:eastAsia="zh-CN"/>
        </w:rPr>
        <w:t>）</w:t>
      </w:r>
    </w:p>
    <w:p>
      <w:pPr>
        <w:pStyle w:val="41"/>
        <w:numPr>
          <w:ilvl w:val="0"/>
          <w:numId w:val="5"/>
        </w:numPr>
        <w:spacing w:before="0" w:line="360" w:lineRule="auto"/>
        <w:ind w:left="777"/>
        <w:jc w:val="left"/>
        <w:rPr>
          <w:color w:val="000000"/>
          <w:szCs w:val="21"/>
          <w:lang w:eastAsia="zh-CN"/>
        </w:rPr>
      </w:pPr>
      <w:r>
        <w:rPr>
          <w:rFonts w:hint="eastAsia"/>
          <w:color w:val="000000"/>
          <w:szCs w:val="21"/>
          <w:lang w:eastAsia="zh-CN"/>
        </w:rPr>
        <w:t>《药品生产质量管理规范》（2010修订版）</w:t>
      </w:r>
    </w:p>
    <w:p>
      <w:pPr>
        <w:pStyle w:val="41"/>
        <w:numPr>
          <w:ilvl w:val="0"/>
          <w:numId w:val="5"/>
        </w:numPr>
        <w:spacing w:before="0" w:line="360" w:lineRule="auto"/>
        <w:ind w:left="777"/>
        <w:jc w:val="left"/>
        <w:rPr>
          <w:color w:val="000000"/>
          <w:szCs w:val="21"/>
          <w:lang w:eastAsia="zh-CN"/>
        </w:rPr>
      </w:pPr>
      <w:r>
        <w:rPr>
          <w:rFonts w:hint="eastAsia"/>
          <w:color w:val="000000"/>
          <w:szCs w:val="21"/>
          <w:lang w:eastAsia="zh-CN"/>
        </w:rPr>
        <w:t>《药品GMP指南》无菌药品（2011版）</w:t>
      </w:r>
    </w:p>
    <w:p>
      <w:pPr>
        <w:pStyle w:val="41"/>
        <w:numPr>
          <w:ilvl w:val="0"/>
          <w:numId w:val="5"/>
        </w:numPr>
        <w:spacing w:before="0" w:line="360" w:lineRule="auto"/>
        <w:ind w:left="777"/>
        <w:jc w:val="left"/>
        <w:rPr>
          <w:color w:val="000000"/>
          <w:szCs w:val="21"/>
          <w:lang w:eastAsia="zh-CN"/>
        </w:rPr>
      </w:pPr>
      <w:r>
        <w:rPr>
          <w:rFonts w:hint="eastAsia"/>
          <w:color w:val="000000"/>
          <w:szCs w:val="21"/>
          <w:lang w:eastAsia="zh-CN"/>
        </w:rPr>
        <w:t>GMP附件1《计算机化系统》（2015版）</w:t>
      </w:r>
    </w:p>
    <w:p>
      <w:pPr>
        <w:pStyle w:val="41"/>
        <w:numPr>
          <w:ilvl w:val="0"/>
          <w:numId w:val="5"/>
        </w:numPr>
        <w:spacing w:before="0" w:line="360" w:lineRule="auto"/>
        <w:ind w:left="777"/>
        <w:jc w:val="left"/>
        <w:rPr>
          <w:color w:val="000000"/>
          <w:szCs w:val="21"/>
          <w:lang w:eastAsia="zh-CN"/>
        </w:rPr>
      </w:pPr>
      <w:r>
        <w:rPr>
          <w:rFonts w:hint="eastAsia"/>
          <w:color w:val="000000"/>
          <w:szCs w:val="21"/>
          <w:lang w:eastAsia="zh-CN"/>
        </w:rPr>
        <w:t>GMP附件2《确认与验证》（2015版）</w:t>
      </w:r>
    </w:p>
    <w:p>
      <w:pPr>
        <w:pStyle w:val="41"/>
        <w:numPr>
          <w:ilvl w:val="0"/>
          <w:numId w:val="5"/>
        </w:numPr>
        <w:spacing w:before="0" w:line="360" w:lineRule="auto"/>
        <w:ind w:left="777"/>
        <w:jc w:val="left"/>
        <w:rPr>
          <w:i/>
          <w:color w:val="4472C4"/>
          <w:szCs w:val="21"/>
          <w:lang w:eastAsia="zh-CN"/>
        </w:rPr>
      </w:pPr>
      <w:r>
        <w:rPr>
          <w:rFonts w:hint="eastAsia"/>
          <w:color w:val="000000"/>
          <w:szCs w:val="21"/>
          <w:lang w:eastAsia="zh-CN"/>
        </w:rPr>
        <w:t>计算机化系统及其验证符合GAMP5和21CFR Part11的要求，以及相关计算机化系统和数据完整性法规要求</w:t>
      </w:r>
    </w:p>
    <w:permEnd w:id="5"/>
    <w:p>
      <w:pPr>
        <w:pStyle w:val="41"/>
        <w:numPr>
          <w:ilvl w:val="0"/>
          <w:numId w:val="4"/>
        </w:numPr>
        <w:spacing w:before="0" w:line="360" w:lineRule="auto"/>
        <w:jc w:val="left"/>
        <w:rPr>
          <w:color w:val="000000"/>
          <w:szCs w:val="21"/>
          <w:lang w:eastAsia="zh-CN"/>
        </w:rPr>
      </w:pPr>
      <w:r>
        <w:rPr>
          <w:color w:val="000000"/>
          <w:szCs w:val="21"/>
          <w:lang w:eastAsia="zh-CN"/>
        </w:rPr>
        <w:t>安全及环保法规指南</w:t>
      </w:r>
    </w:p>
    <w:p>
      <w:pPr>
        <w:pStyle w:val="41"/>
        <w:numPr>
          <w:ilvl w:val="0"/>
          <w:numId w:val="5"/>
        </w:numPr>
        <w:spacing w:before="0" w:line="360" w:lineRule="auto"/>
        <w:ind w:left="777"/>
        <w:jc w:val="left"/>
        <w:rPr>
          <w:szCs w:val="21"/>
          <w:lang w:eastAsia="zh-CN"/>
        </w:rPr>
      </w:pPr>
      <w:permStart w:id="6" w:edGrp="everyone"/>
      <w:r>
        <w:rPr>
          <w:szCs w:val="21"/>
          <w:lang w:eastAsia="zh-CN"/>
        </w:rPr>
        <w:t>电气安全应符合GB4793.1和GB4793.4的要求。</w:t>
      </w:r>
    </w:p>
    <w:p>
      <w:pPr>
        <w:pStyle w:val="41"/>
        <w:numPr>
          <w:ilvl w:val="0"/>
          <w:numId w:val="5"/>
        </w:numPr>
        <w:spacing w:before="0" w:line="360" w:lineRule="auto"/>
        <w:ind w:left="777"/>
        <w:jc w:val="left"/>
        <w:rPr>
          <w:color w:val="000000"/>
          <w:szCs w:val="24"/>
          <w:lang w:eastAsia="zh-CN"/>
        </w:rPr>
      </w:pPr>
      <w:r>
        <w:rPr>
          <w:color w:val="000000"/>
          <w:szCs w:val="24"/>
          <w:lang w:eastAsia="zh-CN"/>
        </w:rPr>
        <w:t>GB50236—98</w:t>
      </w:r>
      <w:r>
        <w:rPr>
          <w:rFonts w:hint="eastAsia"/>
          <w:color w:val="000000"/>
          <w:szCs w:val="24"/>
          <w:lang w:eastAsia="zh-CN"/>
        </w:rPr>
        <w:t>版（现场设备、工业管道焊接工程施工及验收规范）</w:t>
      </w:r>
    </w:p>
    <w:p>
      <w:pPr>
        <w:pStyle w:val="41"/>
        <w:numPr>
          <w:ilvl w:val="0"/>
          <w:numId w:val="5"/>
        </w:numPr>
        <w:spacing w:before="0" w:line="360" w:lineRule="auto"/>
        <w:ind w:left="777"/>
        <w:jc w:val="left"/>
        <w:rPr>
          <w:color w:val="000000"/>
          <w:szCs w:val="24"/>
          <w:lang w:eastAsia="zh-CN"/>
        </w:rPr>
      </w:pPr>
      <w:r>
        <w:rPr>
          <w:rFonts w:hint="eastAsia"/>
          <w:color w:val="000000"/>
          <w:szCs w:val="24"/>
          <w:lang w:eastAsia="zh-CN"/>
        </w:rPr>
        <w:t>有电气设备的电线和电缆必须依据</w:t>
      </w:r>
      <w:r>
        <w:rPr>
          <w:color w:val="000000"/>
          <w:szCs w:val="24"/>
          <w:lang w:eastAsia="zh-CN"/>
        </w:rPr>
        <w:t>ICE</w:t>
      </w:r>
      <w:r>
        <w:rPr>
          <w:rFonts w:hint="eastAsia"/>
          <w:color w:val="000000"/>
          <w:szCs w:val="24"/>
          <w:lang w:eastAsia="zh-CN"/>
        </w:rPr>
        <w:t>标准。</w:t>
      </w:r>
    </w:p>
    <w:p>
      <w:pPr>
        <w:pStyle w:val="41"/>
        <w:numPr>
          <w:ilvl w:val="0"/>
          <w:numId w:val="5"/>
        </w:numPr>
        <w:spacing w:before="0" w:line="360" w:lineRule="auto"/>
        <w:ind w:left="777"/>
        <w:jc w:val="left"/>
        <w:rPr>
          <w:color w:val="000000"/>
          <w:szCs w:val="24"/>
          <w:lang w:eastAsia="zh-CN"/>
        </w:rPr>
      </w:pPr>
      <w:r>
        <w:rPr>
          <w:rFonts w:hint="eastAsia"/>
          <w:color w:val="000000"/>
          <w:szCs w:val="24"/>
          <w:lang w:eastAsia="zh-CN"/>
        </w:rPr>
        <w:t>安全达到国内相关标准及</w:t>
      </w:r>
      <w:r>
        <w:rPr>
          <w:color w:val="000000"/>
          <w:szCs w:val="24"/>
          <w:lang w:eastAsia="zh-CN"/>
        </w:rPr>
        <w:t>CE</w:t>
      </w:r>
      <w:r>
        <w:rPr>
          <w:rFonts w:hint="eastAsia"/>
          <w:color w:val="000000"/>
          <w:szCs w:val="24"/>
          <w:lang w:eastAsia="zh-CN"/>
        </w:rPr>
        <w:t>标准要求</w:t>
      </w:r>
    </w:p>
    <w:p>
      <w:pPr>
        <w:pStyle w:val="41"/>
        <w:numPr>
          <w:ilvl w:val="0"/>
          <w:numId w:val="5"/>
        </w:numPr>
        <w:spacing w:before="0" w:line="360" w:lineRule="auto"/>
        <w:ind w:left="777"/>
        <w:jc w:val="left"/>
        <w:rPr>
          <w:color w:val="000000"/>
          <w:szCs w:val="21"/>
          <w:lang w:eastAsia="zh-CN"/>
        </w:rPr>
      </w:pPr>
      <w:r>
        <w:rPr>
          <w:rFonts w:hint="eastAsia"/>
          <w:color w:val="000000"/>
          <w:szCs w:val="24"/>
          <w:lang w:eastAsia="zh-CN"/>
        </w:rPr>
        <w:t>设备功能失调或者故障的情况下，必须配备所有必要的保护措施，保证设备和产品仍然处于一个安全状态。必须提供设施保证人员，产品和设备安全。</w:t>
      </w:r>
    </w:p>
    <w:permEnd w:id="6"/>
    <w:p>
      <w:pPr>
        <w:pStyle w:val="41"/>
        <w:spacing w:before="0" w:line="360" w:lineRule="auto"/>
        <w:jc w:val="left"/>
        <w:rPr>
          <w:szCs w:val="21"/>
          <w:lang w:eastAsia="zh-CN"/>
        </w:rPr>
      </w:pPr>
      <w:permStart w:id="7" w:edGrp="everyone"/>
      <w:bookmarkStart w:id="47" w:name="_GoBack"/>
      <w:bookmarkEnd w:id="47"/>
    </w:p>
    <w:permEnd w:id="7"/>
    <w:p>
      <w:pPr>
        <w:pStyle w:val="31"/>
        <w:numPr>
          <w:ilvl w:val="0"/>
          <w:numId w:val="3"/>
        </w:numPr>
        <w:spacing w:after="158" w:afterLines="50"/>
        <w:ind w:left="426" w:hanging="426" w:hangingChars="202"/>
        <w:outlineLvl w:val="0"/>
        <w:rPr>
          <w:rFonts w:ascii="Times New Roman" w:hAnsi="Times New Roman"/>
          <w:b/>
        </w:rPr>
      </w:pPr>
      <w:bookmarkStart w:id="20" w:name="_Toc522716119"/>
      <w:bookmarkStart w:id="21" w:name="_Toc522107739"/>
      <w:r>
        <w:rPr>
          <w:rFonts w:ascii="Times New Roman" w:hAnsi="Times New Roman"/>
          <w:b/>
        </w:rPr>
        <w:t>系统描述</w:t>
      </w:r>
      <w:bookmarkEnd w:id="20"/>
      <w:bookmarkEnd w:id="21"/>
    </w:p>
    <w:p>
      <w:pPr>
        <w:pStyle w:val="7"/>
        <w:spacing w:line="360" w:lineRule="auto"/>
        <w:ind w:left="425"/>
        <w:rPr>
          <w:rFonts w:asciiTheme="minorEastAsia" w:hAnsiTheme="minorEastAsia" w:eastAsiaTheme="minorEastAsia" w:cstheme="minorEastAsia"/>
          <w:iCs/>
          <w:sz w:val="21"/>
          <w:szCs w:val="21"/>
          <w:lang w:val="en-US" w:eastAsia="zh-CN"/>
        </w:rPr>
      </w:pPr>
      <w:permStart w:id="8" w:edGrp="everyone"/>
      <w:r>
        <w:rPr>
          <w:rFonts w:hint="eastAsia" w:asciiTheme="minorEastAsia" w:hAnsiTheme="minorEastAsia" w:eastAsiaTheme="minorEastAsia" w:cstheme="minorEastAsia"/>
          <w:iCs/>
          <w:sz w:val="21"/>
          <w:szCs w:val="21"/>
          <w:lang w:eastAsia="zh-CN"/>
        </w:rPr>
        <w:t>本文件的目的是描述联合疫苗楼百日咳车间</w:t>
      </w:r>
      <w:r>
        <w:rPr>
          <w:rFonts w:hint="eastAsia" w:asciiTheme="minorEastAsia" w:hAnsiTheme="minorEastAsia" w:eastAsiaTheme="minorEastAsia" w:cstheme="minorEastAsia"/>
          <w:iCs/>
          <w:sz w:val="21"/>
          <w:szCs w:val="21"/>
          <w:lang w:val="en-US" w:eastAsia="zh-CN"/>
        </w:rPr>
        <w:t>1</w:t>
      </w:r>
      <w:r>
        <w:rPr>
          <w:rFonts w:hint="eastAsia" w:asciiTheme="minorEastAsia" w:hAnsiTheme="minorEastAsia" w:eastAsiaTheme="minorEastAsia" w:cstheme="minorEastAsia"/>
          <w:iCs/>
          <w:sz w:val="21"/>
          <w:szCs w:val="21"/>
          <w:lang w:eastAsia="zh-CN"/>
        </w:rPr>
        <w:t>台电热恒温净化干热灭菌箱的用户需求，以确保最终用户的需求在项目设计阶段得以实现，并作为后续验证工作的基础。该电热恒温净化干热灭菌箱用于能耐受较高温度，不宜被蒸汽穿透或被湿热破坏的不锈钢器具，玻璃器皿等物品的灭菌和热源去除。设备到货日期为合同签订后</w:t>
      </w:r>
      <w:r>
        <w:rPr>
          <w:rFonts w:asciiTheme="minorEastAsia" w:hAnsiTheme="minorEastAsia" w:eastAsiaTheme="minorEastAsia" w:cstheme="minorEastAsia"/>
          <w:iCs/>
          <w:sz w:val="21"/>
          <w:szCs w:val="21"/>
          <w:lang w:eastAsia="zh-CN"/>
        </w:rPr>
        <w:t>120</w:t>
      </w:r>
      <w:r>
        <w:rPr>
          <w:rFonts w:hint="eastAsia" w:asciiTheme="minorEastAsia" w:hAnsiTheme="minorEastAsia" w:eastAsiaTheme="minorEastAsia" w:cstheme="minorEastAsia"/>
          <w:iCs/>
          <w:sz w:val="21"/>
          <w:szCs w:val="21"/>
          <w:lang w:eastAsia="zh-CN"/>
        </w:rPr>
        <w:t>天以内。</w:t>
      </w:r>
    </w:p>
    <w:tbl>
      <w:tblPr>
        <w:tblStyle w:val="20"/>
        <w:tblpPr w:leftFromText="180" w:rightFromText="180" w:vertAnchor="text" w:tblpXSpec="center" w:tblpY="1"/>
        <w:tblOverlap w:val="never"/>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1134"/>
        <w:gridCol w:w="4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7"/>
              <w:spacing w:line="276" w:lineRule="auto"/>
              <w:jc w:val="center"/>
              <w:rPr>
                <w:sz w:val="21"/>
                <w:szCs w:val="21"/>
                <w:lang w:val="en-US" w:eastAsia="zh-CN"/>
              </w:rPr>
            </w:pPr>
            <w:r>
              <w:rPr>
                <w:rFonts w:hint="eastAsia"/>
                <w:sz w:val="21"/>
                <w:szCs w:val="21"/>
                <w:lang w:val="en-US" w:eastAsia="zh-CN"/>
              </w:rPr>
              <w:t>编号</w:t>
            </w:r>
          </w:p>
        </w:tc>
        <w:tc>
          <w:tcPr>
            <w:tcW w:w="2694" w:type="dxa"/>
          </w:tcPr>
          <w:p>
            <w:pPr>
              <w:pStyle w:val="7"/>
              <w:spacing w:line="276" w:lineRule="auto"/>
              <w:jc w:val="center"/>
              <w:rPr>
                <w:sz w:val="21"/>
                <w:szCs w:val="21"/>
                <w:lang w:val="en-US" w:eastAsia="zh-CN"/>
              </w:rPr>
            </w:pPr>
            <w:r>
              <w:rPr>
                <w:rFonts w:hint="eastAsia"/>
                <w:sz w:val="21"/>
                <w:szCs w:val="21"/>
                <w:lang w:val="en-US" w:eastAsia="zh-CN"/>
              </w:rPr>
              <w:t>名称</w:t>
            </w:r>
          </w:p>
        </w:tc>
        <w:tc>
          <w:tcPr>
            <w:tcW w:w="1134" w:type="dxa"/>
          </w:tcPr>
          <w:p>
            <w:pPr>
              <w:pStyle w:val="7"/>
              <w:spacing w:line="276" w:lineRule="auto"/>
              <w:jc w:val="center"/>
              <w:rPr>
                <w:sz w:val="21"/>
                <w:szCs w:val="21"/>
                <w:lang w:val="en-US" w:eastAsia="zh-CN"/>
              </w:rPr>
            </w:pPr>
            <w:r>
              <w:rPr>
                <w:rFonts w:hint="eastAsia"/>
                <w:sz w:val="21"/>
                <w:szCs w:val="21"/>
                <w:lang w:val="en-US" w:eastAsia="zh-CN"/>
              </w:rPr>
              <w:t>有效容积</w:t>
            </w:r>
          </w:p>
        </w:tc>
        <w:tc>
          <w:tcPr>
            <w:tcW w:w="4236" w:type="dxa"/>
          </w:tcPr>
          <w:p>
            <w:pPr>
              <w:pStyle w:val="7"/>
              <w:spacing w:line="276" w:lineRule="auto"/>
              <w:jc w:val="center"/>
              <w:rPr>
                <w:sz w:val="21"/>
                <w:szCs w:val="21"/>
                <w:lang w:val="en-US" w:eastAsia="zh-CN"/>
              </w:rPr>
            </w:pPr>
            <w:r>
              <w:rPr>
                <w:rFonts w:hint="eastAsia"/>
                <w:sz w:val="21"/>
                <w:szCs w:val="21"/>
                <w:lang w:val="en-US" w:eastAsia="zh-CN"/>
              </w:rPr>
              <w:t>使用范围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7"/>
              <w:spacing w:line="276" w:lineRule="auto"/>
              <w:jc w:val="center"/>
              <w:rPr>
                <w:sz w:val="21"/>
                <w:szCs w:val="21"/>
                <w:lang w:val="en-US" w:eastAsia="zh-CN"/>
              </w:rPr>
            </w:pPr>
            <w:r>
              <w:rPr>
                <w:rFonts w:hint="eastAsia"/>
                <w:sz w:val="21"/>
                <w:szCs w:val="21"/>
                <w:lang w:val="en-US" w:eastAsia="zh-CN"/>
              </w:rPr>
              <w:t>1</w:t>
            </w:r>
          </w:p>
        </w:tc>
        <w:tc>
          <w:tcPr>
            <w:tcW w:w="2694" w:type="dxa"/>
          </w:tcPr>
          <w:p>
            <w:pPr>
              <w:pStyle w:val="7"/>
              <w:spacing w:line="276" w:lineRule="auto"/>
              <w:jc w:val="center"/>
              <w:rPr>
                <w:sz w:val="21"/>
                <w:szCs w:val="21"/>
                <w:lang w:val="en-US" w:eastAsia="zh-CN"/>
              </w:rPr>
            </w:pPr>
            <w:r>
              <w:rPr>
                <w:rFonts w:hint="eastAsia" w:asciiTheme="minorEastAsia" w:hAnsiTheme="minorEastAsia" w:eastAsiaTheme="minorEastAsia" w:cstheme="minorEastAsia"/>
                <w:iCs/>
                <w:sz w:val="21"/>
                <w:szCs w:val="21"/>
                <w:lang w:eastAsia="zh-CN"/>
              </w:rPr>
              <w:t>电热恒温净化干热灭菌箱</w:t>
            </w:r>
          </w:p>
        </w:tc>
        <w:tc>
          <w:tcPr>
            <w:tcW w:w="1134" w:type="dxa"/>
          </w:tcPr>
          <w:p>
            <w:pPr>
              <w:pStyle w:val="7"/>
              <w:spacing w:line="276" w:lineRule="auto"/>
              <w:jc w:val="center"/>
              <w:rPr>
                <w:sz w:val="21"/>
                <w:szCs w:val="21"/>
                <w:lang w:val="en-US" w:eastAsia="zh-CN"/>
              </w:rPr>
            </w:pPr>
            <w:r>
              <w:rPr>
                <w:rFonts w:hint="eastAsia"/>
                <w:sz w:val="21"/>
                <w:szCs w:val="21"/>
                <w:lang w:val="en-US" w:eastAsia="zh-CN"/>
              </w:rPr>
              <w:t>3m</w:t>
            </w:r>
            <w:r>
              <w:rPr>
                <w:rFonts w:hint="eastAsia"/>
                <w:sz w:val="21"/>
                <w:szCs w:val="21"/>
                <w:vertAlign w:val="superscript"/>
                <w:lang w:val="en-US" w:eastAsia="zh-CN"/>
              </w:rPr>
              <w:t>3</w:t>
            </w:r>
          </w:p>
        </w:tc>
        <w:tc>
          <w:tcPr>
            <w:tcW w:w="4236" w:type="dxa"/>
          </w:tcPr>
          <w:p>
            <w:pPr>
              <w:pStyle w:val="7"/>
              <w:spacing w:line="276" w:lineRule="auto"/>
              <w:jc w:val="center"/>
              <w:rPr>
                <w:sz w:val="21"/>
                <w:szCs w:val="21"/>
                <w:lang w:val="en-US" w:eastAsia="zh-CN"/>
              </w:rPr>
            </w:pPr>
            <w:r>
              <w:rPr>
                <w:rFonts w:hint="eastAsia"/>
                <w:color w:val="000000" w:themeColor="text1"/>
                <w:sz w:val="21"/>
                <w:szCs w:val="21"/>
                <w:lang w:val="en-US" w:eastAsia="zh-CN"/>
              </w:rPr>
              <w:t>用于纯化工序各房</w:t>
            </w:r>
            <w:r>
              <w:rPr>
                <w:rFonts w:hint="eastAsia"/>
                <w:sz w:val="21"/>
                <w:szCs w:val="21"/>
                <w:lang w:val="en-US" w:eastAsia="zh-CN"/>
              </w:rPr>
              <w:t>间需要的干热灭菌用具</w:t>
            </w:r>
          </w:p>
        </w:tc>
      </w:tr>
    </w:tbl>
    <w:p>
      <w:pPr>
        <w:pStyle w:val="41"/>
        <w:spacing w:before="0" w:line="360" w:lineRule="auto"/>
        <w:ind w:left="568"/>
        <w:jc w:val="left"/>
        <w:rPr>
          <w:color w:val="000000"/>
          <w:szCs w:val="21"/>
          <w:lang w:eastAsia="zh-CN"/>
        </w:rPr>
      </w:pPr>
    </w:p>
    <w:permEnd w:id="8"/>
    <w:p>
      <w:pPr>
        <w:pStyle w:val="41"/>
        <w:spacing w:before="0" w:line="360" w:lineRule="auto"/>
        <w:ind w:left="357"/>
        <w:jc w:val="left"/>
        <w:rPr>
          <w:i/>
          <w:color w:val="4472C4"/>
          <w:szCs w:val="21"/>
          <w:lang w:eastAsia="zh-CN"/>
        </w:rPr>
      </w:pPr>
    </w:p>
    <w:p>
      <w:pPr>
        <w:pStyle w:val="31"/>
        <w:numPr>
          <w:ilvl w:val="0"/>
          <w:numId w:val="3"/>
        </w:numPr>
        <w:spacing w:after="158" w:afterLines="50"/>
        <w:ind w:left="426" w:hanging="426" w:hangingChars="202"/>
        <w:outlineLvl w:val="0"/>
        <w:rPr>
          <w:rFonts w:ascii="Times New Roman" w:hAnsi="Times New Roman"/>
          <w:b/>
          <w:szCs w:val="21"/>
        </w:rPr>
      </w:pPr>
      <w:bookmarkStart w:id="22" w:name="_Toc522716120"/>
      <w:r>
        <w:rPr>
          <w:rFonts w:ascii="Times New Roman" w:hAnsi="Times New Roman"/>
          <w:b/>
          <w:szCs w:val="21"/>
        </w:rPr>
        <w:t>安装要求</w:t>
      </w:r>
      <w:bookmarkEnd w:id="22"/>
    </w:p>
    <w:p>
      <w:pPr>
        <w:pStyle w:val="31"/>
        <w:spacing w:after="158" w:afterLines="50"/>
        <w:ind w:left="425" w:firstLine="0" w:firstLineChars="0"/>
        <w:rPr>
          <w:rFonts w:ascii="Times New Roman" w:hAnsi="Times New Roman"/>
          <w:szCs w:val="21"/>
        </w:rPr>
      </w:pPr>
      <w:permStart w:id="9" w:edGrp="everyone"/>
      <w:permEnd w:id="9"/>
    </w:p>
    <w:tbl>
      <w:tblPr>
        <w:tblStyle w:val="19"/>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bookmarkStart w:id="23" w:name="OLE_LINK2"/>
            <w:bookmarkStart w:id="24" w:name="OLE_LINK1"/>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安装位置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10" w:edGrp="everyone"/>
          </w:p>
        </w:tc>
        <w:tc>
          <w:tcPr>
            <w:tcW w:w="7128" w:type="dxa"/>
            <w:shd w:val="clear" w:color="auto" w:fill="auto"/>
            <w:vAlign w:val="center"/>
          </w:tcPr>
          <w:p>
            <w:pPr>
              <w:jc w:val="both"/>
              <w:rPr>
                <w:szCs w:val="21"/>
                <w:lang w:eastAsia="zh-CN"/>
              </w:rPr>
            </w:pPr>
            <w:r>
              <w:rPr>
                <w:rFonts w:hint="eastAsia" w:ascii="宋体" w:hAnsi="宋体"/>
                <w:szCs w:val="21"/>
                <w:lang w:eastAsia="zh-CN"/>
              </w:rPr>
              <w:t>联合疫苗楼百日咳车间灭菌间</w:t>
            </w:r>
            <w:r>
              <w:rPr>
                <w:rFonts w:hint="eastAsia" w:ascii="宋体" w:hAnsi="宋体"/>
                <w:bCs/>
                <w:szCs w:val="21"/>
                <w:lang w:eastAsia="zh-CN"/>
              </w:rPr>
              <w:t>【</w:t>
            </w:r>
            <w:r>
              <w:rPr>
                <w:rFonts w:hint="eastAsia" w:ascii="宋体" w:hAnsi="宋体"/>
                <w:bCs/>
                <w:szCs w:val="21"/>
                <w:lang w:val="en-US" w:eastAsia="zh-CN"/>
              </w:rPr>
              <w:t>2082390</w:t>
            </w:r>
            <w:r>
              <w:rPr>
                <w:rFonts w:hint="eastAsia" w:ascii="宋体" w:hAnsi="宋体"/>
                <w:bCs/>
                <w:szCs w:val="21"/>
                <w:lang w:eastAsia="zh-CN"/>
              </w:rPr>
              <w:t>】</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安装尺寸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11" w:edGrp="everyone"/>
          </w:p>
        </w:tc>
        <w:tc>
          <w:tcPr>
            <w:tcW w:w="7128" w:type="dxa"/>
            <w:shd w:val="clear" w:color="auto" w:fill="auto"/>
            <w:vAlign w:val="center"/>
          </w:tcPr>
          <w:p>
            <w:pPr>
              <w:spacing w:line="276" w:lineRule="auto"/>
              <w:jc w:val="both"/>
              <w:rPr>
                <w:i/>
                <w:szCs w:val="21"/>
                <w:lang w:eastAsia="zh-CN"/>
              </w:rPr>
            </w:pPr>
            <w:r>
              <w:rPr>
                <w:rFonts w:hint="eastAsia" w:ascii="宋体" w:hAnsi="宋体"/>
                <w:bCs/>
                <w:szCs w:val="21"/>
                <w:lang w:eastAsia="zh-CN"/>
              </w:rPr>
              <w:t>安装尺寸：按用户实地需求。</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12" w:edGrp="everyone"/>
          </w:p>
        </w:tc>
        <w:tc>
          <w:tcPr>
            <w:tcW w:w="7128" w:type="dxa"/>
            <w:shd w:val="clear" w:color="auto" w:fill="auto"/>
            <w:vAlign w:val="center"/>
          </w:tcPr>
          <w:p>
            <w:pPr>
              <w:rPr>
                <w:color w:val="0070C0"/>
                <w:szCs w:val="21"/>
                <w:lang w:val="en-US" w:eastAsia="zh-CN"/>
              </w:rPr>
            </w:pPr>
            <w:r>
              <w:rPr>
                <w:rFonts w:hint="eastAsia" w:ascii="宋体" w:hAnsi="宋体" w:cs="宋体"/>
                <w:lang w:eastAsia="zh-CN"/>
              </w:rPr>
              <w:t>热灭菌柜的内部实用灭菌容积</w:t>
            </w:r>
            <w:r>
              <w:rPr>
                <w:rFonts w:hint="eastAsia" w:ascii="宋体" w:hAnsi="宋体" w:cs="宋体"/>
                <w:color w:val="000000" w:themeColor="text1"/>
                <w:lang w:eastAsia="zh-CN"/>
              </w:rPr>
              <w:t>为</w:t>
            </w:r>
            <w:r>
              <w:rPr>
                <w:rFonts w:hint="eastAsia" w:ascii="宋体" w:hAnsi="宋体" w:cs="宋体"/>
                <w:color w:val="000000" w:themeColor="text1"/>
                <w:lang w:val="en-US" w:eastAsia="zh-CN"/>
              </w:rPr>
              <w:t>3</w:t>
            </w:r>
            <w:r>
              <w:rPr>
                <w:rFonts w:ascii="宋体" w:hAnsi="宋体" w:cs="宋体"/>
                <w:color w:val="000000" w:themeColor="text1"/>
                <w:lang w:eastAsia="zh-CN"/>
              </w:rPr>
              <w:t>m</w:t>
            </w:r>
            <w:r>
              <w:rPr>
                <w:rFonts w:hint="eastAsia" w:ascii="宋体" w:hAnsi="宋体" w:cs="宋体"/>
                <w:color w:val="000000" w:themeColor="text1"/>
                <w:vertAlign w:val="superscript"/>
                <w:lang w:eastAsia="zh-CN"/>
              </w:rPr>
              <w:t>3</w:t>
            </w:r>
            <w:r>
              <w:rPr>
                <w:rFonts w:hint="eastAsia" w:ascii="宋体" w:hAnsi="宋体" w:cs="宋体"/>
                <w:lang w:eastAsia="zh-CN"/>
              </w:rPr>
              <w:t>，外形尺寸按照</w:t>
            </w:r>
            <w:r>
              <w:rPr>
                <w:rFonts w:hint="eastAsia" w:cs="宋体"/>
                <w:lang w:eastAsia="zh-CN"/>
              </w:rPr>
              <w:t>用户实地需求。</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color w:val="0070C0"/>
                <w:szCs w:val="21"/>
                <w:lang w:eastAsia="zh-CN"/>
              </w:rPr>
            </w:pPr>
            <w:r>
              <w:rPr>
                <w:rFonts w:hint="eastAsia" w:ascii="宋体" w:hAnsi="宋体" w:cs="Arial"/>
                <w:szCs w:val="21"/>
                <w:lang w:eastAsia="zh-CN"/>
              </w:rPr>
              <w:t>供应商必须给出设备选型方案及相应附件选型方案，并交给我公司使用部门及工程类部门审核</w:t>
            </w:r>
            <w:r>
              <w:rPr>
                <w:rFonts w:hint="eastAsia" w:ascii="宋体" w:hAnsi="宋体"/>
                <w:szCs w:val="21"/>
                <w:lang w:eastAsia="zh-CN"/>
              </w:rPr>
              <w:t>，共同确认后方可制作。确认内容包括但不限于尺寸、开门方向、电器柜位置等。</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宋体" w:hAnsi="宋体" w:cs="Arial"/>
                <w:szCs w:val="21"/>
                <w:lang w:eastAsia="zh-CN"/>
              </w:rPr>
            </w:pPr>
            <w:r>
              <w:rPr>
                <w:rFonts w:hint="eastAsia" w:ascii="宋体" w:hAnsi="宋体" w:cs="宋体"/>
                <w:lang w:eastAsia="zh-CN"/>
              </w:rPr>
              <w:t>前后门电子互锁，不能同时打开，并有指示灯警示。</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color w:val="000000" w:themeColor="text1"/>
                <w:szCs w:val="21"/>
              </w:rPr>
            </w:pPr>
          </w:p>
        </w:tc>
        <w:tc>
          <w:tcPr>
            <w:tcW w:w="7128" w:type="dxa"/>
            <w:shd w:val="clear" w:color="auto" w:fill="auto"/>
            <w:vAlign w:val="center"/>
          </w:tcPr>
          <w:p>
            <w:pPr>
              <w:spacing w:line="276" w:lineRule="auto"/>
              <w:jc w:val="both"/>
              <w:rPr>
                <w:rFonts w:ascii="宋体" w:hAnsi="宋体" w:cs="宋体"/>
                <w:color w:val="000000" w:themeColor="text1"/>
                <w:lang w:eastAsia="zh-CN"/>
              </w:rPr>
            </w:pPr>
            <w:r>
              <w:rPr>
                <w:rFonts w:hint="eastAsia" w:ascii="宋体" w:hAnsi="宋体" w:cs="宋体"/>
                <w:color w:val="000000" w:themeColor="text1"/>
                <w:lang w:eastAsia="zh-CN"/>
              </w:rPr>
              <w:t>供应商负责将设备排风口采用不锈钢材料接出洁净室，在洁净室外预留好接口</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承重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8D8D8" w:themeFill="background1" w:themeFillShade="D9"/>
            <w:vAlign w:val="center"/>
          </w:tcPr>
          <w:p>
            <w:pPr>
              <w:rPr>
                <w:szCs w:val="21"/>
              </w:rPr>
            </w:pPr>
            <w:permStart w:id="13" w:edGrp="everyone"/>
          </w:p>
        </w:tc>
        <w:tc>
          <w:tcPr>
            <w:tcW w:w="9253" w:type="dxa"/>
            <w:gridSpan w:val="2"/>
            <w:shd w:val="clear" w:color="auto" w:fill="auto"/>
            <w:vAlign w:val="center"/>
          </w:tcPr>
          <w:p>
            <w:pPr>
              <w:rPr>
                <w:szCs w:val="21"/>
                <w:lang w:eastAsia="zh-CN"/>
              </w:rPr>
            </w:pPr>
            <w:r>
              <w:rPr>
                <w:rFonts w:hint="eastAsia"/>
                <w:szCs w:val="21"/>
                <w:lang w:eastAsia="zh-CN"/>
              </w:rPr>
              <w:t>N</w:t>
            </w:r>
            <w:r>
              <w:rPr>
                <w:szCs w:val="21"/>
                <w:lang w:eastAsia="zh-CN"/>
              </w:rPr>
              <w:t>/A</w:t>
            </w:r>
          </w:p>
        </w:tc>
      </w:tr>
      <w:perm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可用的公用系统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14" w:edGrp="everyone"/>
          </w:p>
        </w:tc>
        <w:tc>
          <w:tcPr>
            <w:tcW w:w="7128" w:type="dxa"/>
            <w:shd w:val="clear" w:color="auto" w:fill="auto"/>
            <w:vAlign w:val="center"/>
          </w:tcPr>
          <w:p>
            <w:pPr>
              <w:spacing w:line="276" w:lineRule="auto"/>
              <w:jc w:val="both"/>
              <w:rPr>
                <w:iCs/>
                <w:color w:val="000000"/>
                <w:szCs w:val="21"/>
                <w:lang w:eastAsia="zh-CN"/>
              </w:rPr>
            </w:pPr>
            <w:r>
              <w:rPr>
                <w:rFonts w:hint="eastAsia" w:ascii="宋体" w:hAnsi="宋体" w:cs="宋体"/>
                <w:lang w:eastAsia="zh-CN"/>
              </w:rPr>
              <w:t>本项目供电为三相</w:t>
            </w:r>
            <w:r>
              <w:rPr>
                <w:rFonts w:ascii="宋体" w:hAnsi="宋体" w:cs="宋体"/>
                <w:lang w:eastAsia="zh-CN"/>
              </w:rPr>
              <w:t>380V</w:t>
            </w:r>
            <w:r>
              <w:rPr>
                <w:rFonts w:hint="eastAsia" w:ascii="宋体" w:hAnsi="宋体" w:cs="宋体"/>
                <w:lang w:eastAsia="zh-CN"/>
              </w:rPr>
              <w:t>，三相五线制，</w:t>
            </w:r>
            <w:r>
              <w:rPr>
                <w:rFonts w:ascii="宋体" w:hAnsi="宋体" w:cs="宋体"/>
                <w:lang w:eastAsia="zh-CN"/>
              </w:rPr>
              <w:t>50Hz</w:t>
            </w:r>
            <w:r>
              <w:rPr>
                <w:rFonts w:hint="eastAsia" w:ascii="宋体" w:hAnsi="宋体" w:cs="宋体"/>
                <w:lang w:eastAsia="zh-CN"/>
              </w:rPr>
              <w:t>。</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宋体" w:hAnsi="宋体" w:cs="Arial"/>
                <w:szCs w:val="21"/>
                <w:lang w:eastAsia="zh-CN"/>
              </w:rPr>
            </w:pPr>
            <w:r>
              <w:rPr>
                <w:rFonts w:hint="eastAsia" w:ascii="宋体" w:hAnsi="宋体" w:cs="Arial"/>
                <w:szCs w:val="21"/>
                <w:lang w:eastAsia="zh-CN"/>
              </w:rPr>
              <w:t>洁净压缩空气：</w:t>
            </w:r>
            <w:r>
              <w:rPr>
                <w:rFonts w:hint="eastAsia" w:ascii="宋体" w:hAnsi="宋体" w:cs="宋体"/>
                <w:lang w:eastAsia="zh-CN"/>
              </w:rPr>
              <w:t>压力</w:t>
            </w:r>
            <w:r>
              <w:rPr>
                <w:rFonts w:ascii="宋体" w:hAnsi="宋体" w:cs="宋体"/>
                <w:lang w:eastAsia="zh-CN"/>
              </w:rPr>
              <w:t>6-7bar</w:t>
            </w:r>
            <w:r>
              <w:rPr>
                <w:rFonts w:hint="eastAsia" w:ascii="宋体" w:hAnsi="宋体" w:cs="宋体"/>
                <w:lang w:eastAsia="zh-CN"/>
              </w:rPr>
              <w:t>，无油，露点不超过</w:t>
            </w:r>
            <w:r>
              <w:rPr>
                <w:rFonts w:ascii="宋体" w:hAnsi="宋体" w:cs="宋体"/>
                <w:lang w:eastAsia="zh-CN"/>
              </w:rPr>
              <w:t>-40</w:t>
            </w:r>
            <w:r>
              <w:rPr>
                <w:rFonts w:hint="eastAsia" w:ascii="宋体" w:hAnsi="宋体" w:cs="宋体"/>
                <w:lang w:eastAsia="zh-CN"/>
              </w:rPr>
              <w:t>℃。</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洁净级别和房间环境条件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15" w:edGrp="everyone"/>
          </w:p>
        </w:tc>
        <w:tc>
          <w:tcPr>
            <w:tcW w:w="7128" w:type="dxa"/>
            <w:shd w:val="clear" w:color="auto" w:fill="auto"/>
            <w:vAlign w:val="center"/>
          </w:tcPr>
          <w:p>
            <w:pPr>
              <w:spacing w:line="276" w:lineRule="auto"/>
              <w:jc w:val="both"/>
              <w:rPr>
                <w:szCs w:val="21"/>
                <w:lang w:eastAsia="zh-CN"/>
              </w:rPr>
            </w:pPr>
            <w:r>
              <w:rPr>
                <w:rFonts w:hint="eastAsia" w:ascii="宋体" w:hAnsi="宋体" w:cs="Arial"/>
                <w:szCs w:val="21"/>
                <w:lang w:eastAsia="zh-CN"/>
              </w:rPr>
              <w:t>设备工作外环境温度：能适应</w:t>
            </w:r>
            <w:r>
              <w:rPr>
                <w:rFonts w:ascii="宋体" w:hAnsi="宋体" w:cs="Arial"/>
                <w:szCs w:val="21"/>
                <w:lang w:eastAsia="zh-CN"/>
              </w:rPr>
              <w:t>1</w:t>
            </w:r>
            <w:r>
              <w:rPr>
                <w:rFonts w:hint="eastAsia" w:ascii="宋体" w:hAnsi="宋体" w:cs="Arial"/>
                <w:szCs w:val="21"/>
                <w:lang w:eastAsia="zh-CN"/>
              </w:rPr>
              <w:t>8℃～26℃环境</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16" w:edGrp="everyone"/>
          </w:p>
        </w:tc>
        <w:tc>
          <w:tcPr>
            <w:tcW w:w="7128" w:type="dxa"/>
            <w:shd w:val="clear" w:color="auto" w:fill="auto"/>
            <w:vAlign w:val="center"/>
          </w:tcPr>
          <w:p>
            <w:pPr>
              <w:spacing w:line="276" w:lineRule="auto"/>
              <w:jc w:val="both"/>
              <w:rPr>
                <w:szCs w:val="21"/>
                <w:lang w:eastAsia="zh-CN"/>
              </w:rPr>
            </w:pPr>
            <w:r>
              <w:rPr>
                <w:rFonts w:hint="eastAsia" w:ascii="宋体" w:hAnsi="宋体" w:cs="Arial"/>
                <w:szCs w:val="21"/>
                <w:lang w:eastAsia="zh-CN"/>
              </w:rPr>
              <w:t>设备工作外环境湿度：至少包括</w:t>
            </w:r>
            <w:r>
              <w:rPr>
                <w:rFonts w:ascii="宋体" w:hAnsi="宋体" w:cs="Arial"/>
                <w:szCs w:val="21"/>
                <w:lang w:eastAsia="zh-CN"/>
              </w:rPr>
              <w:t>45%</w:t>
            </w:r>
            <w:r>
              <w:rPr>
                <w:rFonts w:hint="eastAsia" w:ascii="宋体" w:hAnsi="宋体" w:cs="Arial"/>
                <w:szCs w:val="21"/>
                <w:lang w:eastAsia="zh-CN"/>
              </w:rPr>
              <w:t>～</w:t>
            </w:r>
            <w:r>
              <w:rPr>
                <w:rFonts w:ascii="宋体" w:hAnsi="宋体" w:cs="Arial"/>
                <w:szCs w:val="21"/>
                <w:lang w:eastAsia="zh-CN"/>
              </w:rPr>
              <w:t>65%</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17" w:edGrp="everyone"/>
          </w:p>
        </w:tc>
        <w:tc>
          <w:tcPr>
            <w:tcW w:w="7128" w:type="dxa"/>
            <w:shd w:val="clear" w:color="auto" w:fill="auto"/>
            <w:vAlign w:val="center"/>
          </w:tcPr>
          <w:p>
            <w:pPr>
              <w:spacing w:line="276" w:lineRule="auto"/>
              <w:jc w:val="both"/>
              <w:rPr>
                <w:color w:val="000000"/>
                <w:szCs w:val="21"/>
                <w:lang w:eastAsia="zh-CN"/>
              </w:rPr>
            </w:pPr>
            <w:r>
              <w:rPr>
                <w:rFonts w:hint="eastAsia" w:ascii="宋体" w:hAnsi="宋体" w:cs="Arial"/>
                <w:szCs w:val="21"/>
                <w:lang w:eastAsia="zh-CN"/>
              </w:rPr>
              <w:t>工作环境洁净级别：2台</w:t>
            </w:r>
            <w:r>
              <w:rPr>
                <w:rFonts w:hint="eastAsia" w:asciiTheme="minorEastAsia" w:hAnsiTheme="minorEastAsia" w:eastAsiaTheme="minorEastAsia" w:cstheme="minorEastAsia"/>
                <w:iCs/>
                <w:szCs w:val="21"/>
                <w:lang w:eastAsia="zh-CN"/>
              </w:rPr>
              <w:t>电热恒温净化干热灭菌箱均为</w:t>
            </w:r>
            <w:r>
              <w:rPr>
                <w:rFonts w:hint="eastAsia" w:ascii="宋体" w:hAnsi="宋体" w:cs="Arial"/>
                <w:szCs w:val="21"/>
                <w:lang w:eastAsia="zh-CN"/>
              </w:rPr>
              <w:t>双扉门，两端分别为灭菌间</w:t>
            </w:r>
            <w:r>
              <w:rPr>
                <w:rFonts w:ascii="宋体" w:hAnsi="宋体" w:cs="Arial"/>
                <w:szCs w:val="21"/>
                <w:lang w:eastAsia="zh-CN"/>
              </w:rPr>
              <w:t>D</w:t>
            </w:r>
            <w:r>
              <w:rPr>
                <w:rFonts w:hint="eastAsia" w:ascii="宋体" w:hAnsi="宋体" w:cs="Arial"/>
                <w:szCs w:val="21"/>
                <w:lang w:eastAsia="zh-CN"/>
              </w:rPr>
              <w:t>级、洁品间</w:t>
            </w:r>
            <w:r>
              <w:rPr>
                <w:rFonts w:ascii="宋体" w:hAnsi="宋体" w:cs="Arial"/>
                <w:szCs w:val="21"/>
                <w:lang w:val="en-US" w:eastAsia="zh-CN"/>
              </w:rPr>
              <w:t>C</w:t>
            </w:r>
            <w:r>
              <w:rPr>
                <w:rFonts w:hint="eastAsia" w:ascii="宋体" w:hAnsi="宋体" w:cs="Arial"/>
                <w:szCs w:val="21"/>
                <w:lang w:val="en-US" w:eastAsia="zh-CN"/>
              </w:rPr>
              <w:t>级；</w:t>
            </w:r>
            <w:r>
              <w:rPr>
                <w:rFonts w:hint="eastAsia" w:ascii="宋体" w:hAnsi="宋体" w:cs="宋体"/>
                <w:lang w:eastAsia="zh-CN"/>
              </w:rPr>
              <w:t>内部循环热风须经高温高效空气过滤器过滤，箱内工作区空气洁净级别达到</w:t>
            </w:r>
            <w:r>
              <w:rPr>
                <w:rFonts w:ascii="宋体" w:hAnsi="宋体" w:cs="宋体"/>
                <w:lang w:eastAsia="zh-CN"/>
              </w:rPr>
              <w:t>A</w:t>
            </w:r>
            <w:r>
              <w:rPr>
                <w:rFonts w:hint="eastAsia" w:ascii="宋体" w:hAnsi="宋体" w:cs="宋体"/>
                <w:lang w:eastAsia="zh-CN"/>
              </w:rPr>
              <w:t>级标准。</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lang w:eastAsia="zh-CN"/>
              </w:rPr>
              <w:t>可用的能源配置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18" w:edGrp="everyone"/>
          </w:p>
        </w:tc>
        <w:tc>
          <w:tcPr>
            <w:tcW w:w="7128" w:type="dxa"/>
            <w:shd w:val="clear" w:color="auto" w:fill="auto"/>
            <w:vAlign w:val="center"/>
          </w:tcPr>
          <w:p>
            <w:pPr>
              <w:pStyle w:val="31"/>
              <w:spacing w:after="158" w:afterLines="50"/>
              <w:ind w:firstLine="0" w:firstLineChars="0"/>
              <w:outlineLvl w:val="0"/>
              <w:rPr>
                <w:color w:val="000000"/>
                <w:szCs w:val="21"/>
              </w:rPr>
            </w:pPr>
            <w:r>
              <w:rPr>
                <w:rFonts w:hint="eastAsia" w:ascii="宋体" w:hAnsi="宋体" w:cs="Arial"/>
                <w:kern w:val="0"/>
                <w:szCs w:val="21"/>
                <w:lang w:val="en-GB"/>
              </w:rPr>
              <w:t>交流电电源：三相交流电电源，</w:t>
            </w:r>
            <w:r>
              <w:rPr>
                <w:rFonts w:ascii="宋体" w:hAnsi="宋体" w:cs="Arial"/>
                <w:kern w:val="0"/>
                <w:szCs w:val="21"/>
                <w:lang w:val="en-GB"/>
              </w:rPr>
              <w:t>380V</w:t>
            </w:r>
            <w:r>
              <w:rPr>
                <w:rFonts w:hint="eastAsia" w:ascii="宋体" w:hAnsi="宋体" w:cs="Arial"/>
                <w:kern w:val="0"/>
                <w:szCs w:val="21"/>
                <w:lang w:val="en-GB"/>
              </w:rPr>
              <w:t>±</w:t>
            </w:r>
            <w:r>
              <w:rPr>
                <w:rFonts w:ascii="宋体" w:hAnsi="宋体" w:cs="Arial"/>
                <w:kern w:val="0"/>
                <w:szCs w:val="21"/>
                <w:lang w:val="en-GB"/>
              </w:rPr>
              <w:t>10%</w:t>
            </w:r>
            <w:r>
              <w:rPr>
                <w:rFonts w:hint="eastAsia" w:ascii="宋体" w:hAnsi="宋体" w:cs="Arial"/>
                <w:kern w:val="0"/>
                <w:szCs w:val="21"/>
                <w:lang w:val="en-GB"/>
              </w:rPr>
              <w:t>，</w:t>
            </w:r>
            <w:r>
              <w:rPr>
                <w:rFonts w:ascii="宋体" w:hAnsi="宋体" w:cs="Arial"/>
                <w:kern w:val="0"/>
                <w:szCs w:val="21"/>
                <w:lang w:val="en-GB"/>
              </w:rPr>
              <w:t>50HZ</w:t>
            </w:r>
            <w:r>
              <w:rPr>
                <w:rFonts w:hint="eastAsia" w:ascii="宋体" w:hAnsi="宋体" w:cs="Arial"/>
                <w:kern w:val="0"/>
                <w:szCs w:val="21"/>
                <w:lang w:val="en-GB"/>
              </w:rPr>
              <w:t>。</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lang w:eastAsia="zh-CN"/>
              </w:rPr>
              <w:t>外观材质要求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19" w:edGrp="everyone"/>
          </w:p>
        </w:tc>
        <w:tc>
          <w:tcPr>
            <w:tcW w:w="7128" w:type="dxa"/>
            <w:shd w:val="clear" w:color="auto" w:fill="auto"/>
            <w:vAlign w:val="center"/>
          </w:tcPr>
          <w:p>
            <w:pPr>
              <w:pStyle w:val="7"/>
              <w:spacing w:line="276" w:lineRule="auto"/>
              <w:rPr>
                <w:rFonts w:ascii="宋体" w:hAnsi="宋体"/>
                <w:sz w:val="21"/>
                <w:szCs w:val="21"/>
                <w:lang w:eastAsia="zh-CN"/>
              </w:rPr>
            </w:pPr>
            <w:r>
              <w:rPr>
                <w:rFonts w:hint="eastAsia" w:ascii="宋体" w:hAnsi="宋体"/>
                <w:sz w:val="21"/>
                <w:szCs w:val="21"/>
                <w:lang w:eastAsia="zh-CN"/>
              </w:rPr>
              <w:t>灭菌柜外形应端正、整齐，所有表面不得有锈蚀、毛刺、凹陷、鼓包等缺陷。</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line="276" w:lineRule="auto"/>
              <w:rPr>
                <w:rFonts w:ascii="宋体" w:hAnsi="宋体"/>
                <w:sz w:val="21"/>
                <w:szCs w:val="21"/>
                <w:lang w:val="en-US" w:eastAsia="zh-CN"/>
              </w:rPr>
            </w:pPr>
            <w:r>
              <w:rPr>
                <w:rFonts w:hint="eastAsia" w:ascii="宋体" w:hAnsi="宋体"/>
                <w:sz w:val="21"/>
                <w:szCs w:val="21"/>
                <w:lang w:eastAsia="zh-CN"/>
              </w:rPr>
              <w:t>内室、循环风道等采用厚度</w:t>
            </w:r>
            <w:r>
              <w:rPr>
                <w:rFonts w:ascii="宋体" w:hAnsi="宋体"/>
                <w:sz w:val="21"/>
                <w:szCs w:val="21"/>
                <w:lang w:eastAsia="zh-CN"/>
              </w:rPr>
              <w:t>1.5mm</w:t>
            </w:r>
            <w:r>
              <w:rPr>
                <w:rFonts w:hint="eastAsia" w:ascii="宋体" w:hAnsi="宋体"/>
                <w:sz w:val="21"/>
                <w:szCs w:val="21"/>
                <w:lang w:eastAsia="zh-CN"/>
              </w:rPr>
              <w:t>以上的</w:t>
            </w:r>
            <w:r>
              <w:rPr>
                <w:rFonts w:ascii="宋体" w:hAnsi="宋体"/>
                <w:sz w:val="21"/>
                <w:szCs w:val="21"/>
                <w:lang w:eastAsia="zh-CN"/>
              </w:rPr>
              <w:t>316L</w:t>
            </w:r>
            <w:r>
              <w:rPr>
                <w:rFonts w:hint="eastAsia" w:ascii="宋体" w:hAnsi="宋体"/>
                <w:sz w:val="21"/>
                <w:szCs w:val="21"/>
                <w:lang w:eastAsia="zh-CN"/>
              </w:rPr>
              <w:t>不锈钢材料，</w:t>
            </w:r>
            <w:r>
              <w:rPr>
                <w:rFonts w:hint="eastAsia" w:ascii="宋体" w:hAnsi="宋体"/>
                <w:color w:val="000000"/>
                <w:sz w:val="21"/>
                <w:szCs w:val="21"/>
                <w:lang w:eastAsia="zh-CN"/>
              </w:rPr>
              <w:t>表面平滑光洁度高易于清洁；外壳、采用厚度1.5mm以上的304不锈钢板，门板采用厚度4mm以上的304不锈钢板</w:t>
            </w:r>
            <w:r>
              <w:rPr>
                <w:rFonts w:hint="eastAsia" w:ascii="宋体" w:hAnsi="宋体"/>
                <w:color w:val="000000" w:themeColor="text1"/>
                <w:sz w:val="21"/>
                <w:szCs w:val="21"/>
                <w:lang w:eastAsia="zh-CN"/>
              </w:rPr>
              <w:t>。</w:t>
            </w:r>
            <w:r>
              <w:rPr>
                <w:rFonts w:hint="eastAsia" w:ascii="宋体" w:hAnsi="宋体"/>
                <w:color w:val="000000" w:themeColor="text1"/>
                <w:sz w:val="21"/>
                <w:szCs w:val="21"/>
                <w:shd w:val="clear" w:color="FFFFFF" w:fill="D9D9D9"/>
                <w:lang w:eastAsia="zh-CN"/>
              </w:rPr>
              <w:t>表面光洁度</w:t>
            </w:r>
            <w:r>
              <w:rPr>
                <w:rFonts w:hint="eastAsia" w:ascii="宋体" w:hAnsi="宋体"/>
                <w:color w:val="000000" w:themeColor="text1"/>
                <w:sz w:val="21"/>
                <w:szCs w:val="21"/>
                <w:shd w:val="clear" w:color="FFFFFF" w:fill="D9D9D9"/>
                <w:lang w:val="en-US" w:eastAsia="zh-CN"/>
              </w:rPr>
              <w:t>RA</w:t>
            </w:r>
            <w:r>
              <w:rPr>
                <w:rFonts w:hint="eastAsia" w:ascii="宋体" w:hAnsi="宋体"/>
                <w:color w:val="000000" w:themeColor="text1"/>
                <w:sz w:val="21"/>
                <w:szCs w:val="21"/>
                <w:shd w:val="clear" w:color="FFFFFF" w:fill="D9D9D9"/>
                <w:lang w:eastAsia="zh-CN"/>
              </w:rPr>
              <w:t>≤</w:t>
            </w:r>
            <w:r>
              <w:rPr>
                <w:rFonts w:hint="eastAsia" w:ascii="宋体" w:hAnsi="宋体"/>
                <w:color w:val="000000" w:themeColor="text1"/>
                <w:sz w:val="21"/>
                <w:szCs w:val="21"/>
                <w:shd w:val="clear" w:color="FFFFFF" w:fill="D9D9D9"/>
                <w:lang w:val="en-US" w:eastAsia="zh-CN"/>
              </w:rPr>
              <w:t>0.4μm</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line="276" w:lineRule="auto"/>
              <w:rPr>
                <w:rFonts w:ascii="宋体" w:hAnsi="宋体"/>
                <w:sz w:val="21"/>
                <w:szCs w:val="21"/>
                <w:lang w:eastAsia="zh-CN"/>
              </w:rPr>
            </w:pPr>
            <w:r>
              <w:rPr>
                <w:rFonts w:hint="eastAsia" w:ascii="宋体" w:hAnsi="宋体"/>
                <w:sz w:val="21"/>
                <w:szCs w:val="21"/>
                <w:lang w:eastAsia="zh-CN"/>
              </w:rPr>
              <w:t>搁物架、轨道等使用</w:t>
            </w:r>
            <w:r>
              <w:rPr>
                <w:rFonts w:ascii="宋体" w:hAnsi="宋体"/>
                <w:sz w:val="21"/>
                <w:szCs w:val="21"/>
                <w:lang w:eastAsia="zh-CN"/>
              </w:rPr>
              <w:t>316L</w:t>
            </w:r>
            <w:r>
              <w:rPr>
                <w:rFonts w:hint="eastAsia" w:ascii="宋体" w:hAnsi="宋体"/>
                <w:sz w:val="21"/>
                <w:szCs w:val="21"/>
                <w:lang w:eastAsia="zh-CN"/>
              </w:rPr>
              <w:t>不锈钢材料，搁物架至少2个，可充分利用内部空间；</w:t>
            </w:r>
            <w:r>
              <w:rPr>
                <w:rFonts w:hint="eastAsia" w:ascii="宋体" w:hAnsi="宋体"/>
                <w:color w:val="000000" w:themeColor="text1"/>
                <w:sz w:val="21"/>
                <w:szCs w:val="21"/>
                <w:lang w:eastAsia="zh-CN"/>
              </w:rPr>
              <w:t>不锈钢拖车使用厚不锈钢板（</w:t>
            </w:r>
            <w:r>
              <w:rPr>
                <w:rFonts w:ascii="宋体" w:hAnsi="宋体"/>
                <w:color w:val="000000" w:themeColor="text1"/>
                <w:sz w:val="21"/>
                <w:szCs w:val="21"/>
                <w:lang w:eastAsia="zh-CN"/>
              </w:rPr>
              <w:t>316L</w:t>
            </w:r>
            <w:r>
              <w:rPr>
                <w:rFonts w:hint="eastAsia" w:ascii="宋体" w:hAnsi="宋体"/>
                <w:color w:val="000000" w:themeColor="text1"/>
                <w:sz w:val="21"/>
                <w:szCs w:val="21"/>
                <w:lang w:eastAsia="zh-CN"/>
              </w:rPr>
              <w:t>或</w:t>
            </w:r>
            <w:r>
              <w:rPr>
                <w:rFonts w:ascii="宋体" w:hAnsi="宋体"/>
                <w:color w:val="000000" w:themeColor="text1"/>
                <w:sz w:val="21"/>
                <w:szCs w:val="21"/>
                <w:lang w:eastAsia="zh-CN"/>
              </w:rPr>
              <w:t>304</w:t>
            </w:r>
            <w:r>
              <w:rPr>
                <w:rFonts w:hint="eastAsia" w:ascii="宋体" w:hAnsi="宋体"/>
                <w:color w:val="000000" w:themeColor="text1"/>
                <w:sz w:val="21"/>
                <w:szCs w:val="21"/>
                <w:lang w:eastAsia="zh-CN"/>
              </w:rPr>
              <w:t>）制成，不锈钢拖车至少2个。搁物架承重1</w:t>
            </w:r>
            <w:r>
              <w:rPr>
                <w:rFonts w:ascii="宋体" w:hAnsi="宋体"/>
                <w:color w:val="000000" w:themeColor="text1"/>
                <w:sz w:val="21"/>
                <w:szCs w:val="21"/>
                <w:lang w:eastAsia="zh-CN"/>
              </w:rPr>
              <w:t>50KG</w:t>
            </w:r>
            <w:r>
              <w:rPr>
                <w:rFonts w:hint="eastAsia" w:ascii="宋体" w:hAnsi="宋体"/>
                <w:color w:val="000000" w:themeColor="text1"/>
                <w:sz w:val="21"/>
                <w:szCs w:val="21"/>
                <w:lang w:eastAsia="zh-CN"/>
              </w:rPr>
              <w:t>，内室底部承重5</w:t>
            </w:r>
            <w:r>
              <w:rPr>
                <w:rFonts w:ascii="宋体" w:hAnsi="宋体"/>
                <w:color w:val="000000" w:themeColor="text1"/>
                <w:sz w:val="21"/>
                <w:szCs w:val="21"/>
                <w:lang w:eastAsia="zh-CN"/>
              </w:rPr>
              <w:t>00KG</w:t>
            </w:r>
            <w:r>
              <w:rPr>
                <w:rFonts w:hint="eastAsia" w:ascii="宋体" w:hAnsi="宋体"/>
                <w:color w:val="000000" w:themeColor="text1"/>
                <w:sz w:val="21"/>
                <w:szCs w:val="21"/>
                <w:lang w:eastAsia="zh-CN"/>
              </w:rPr>
              <w:t>。</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line="276" w:lineRule="auto"/>
              <w:rPr>
                <w:rFonts w:ascii="宋体"/>
                <w:sz w:val="21"/>
                <w:szCs w:val="21"/>
                <w:lang w:eastAsia="zh-CN"/>
              </w:rPr>
            </w:pPr>
            <w:r>
              <w:rPr>
                <w:rFonts w:hint="eastAsia" w:ascii="宋体" w:hAnsi="宋体"/>
                <w:sz w:val="21"/>
                <w:szCs w:val="21"/>
                <w:lang w:eastAsia="zh-CN"/>
              </w:rPr>
              <w:t>所有与</w:t>
            </w:r>
            <w:r>
              <w:rPr>
                <w:rFonts w:ascii="宋体" w:hAnsi="宋体"/>
                <w:sz w:val="21"/>
                <w:szCs w:val="21"/>
                <w:lang w:eastAsia="zh-CN"/>
              </w:rPr>
              <w:t>316L</w:t>
            </w:r>
            <w:r>
              <w:rPr>
                <w:rFonts w:hint="eastAsia" w:ascii="宋体" w:hAnsi="宋体"/>
                <w:sz w:val="21"/>
                <w:szCs w:val="21"/>
                <w:lang w:eastAsia="zh-CN"/>
              </w:rPr>
              <w:t>不锈钢或</w:t>
            </w:r>
            <w:r>
              <w:rPr>
                <w:rFonts w:ascii="宋体" w:hAnsi="宋体"/>
                <w:sz w:val="21"/>
                <w:szCs w:val="21"/>
                <w:lang w:eastAsia="zh-CN"/>
              </w:rPr>
              <w:t>304</w:t>
            </w:r>
            <w:r>
              <w:rPr>
                <w:rFonts w:hint="eastAsia" w:ascii="宋体" w:hAnsi="宋体"/>
                <w:sz w:val="21"/>
                <w:szCs w:val="21"/>
                <w:lang w:eastAsia="zh-CN"/>
              </w:rPr>
              <w:t>不锈钢接触的材料（包括螺钉）不得使用碳钢，内室不锈钢材料严禁与碳钢进行焊接或保持接触，抛光度</w:t>
            </w:r>
            <w:r>
              <w:rPr>
                <w:rFonts w:hint="eastAsia" w:asciiTheme="minorEastAsia" w:hAnsiTheme="minorEastAsia" w:eastAsiaTheme="minorEastAsia" w:cstheme="minorEastAsia"/>
                <w:iCs/>
                <w:szCs w:val="21"/>
                <w:lang w:eastAsia="zh-CN"/>
              </w:rPr>
              <w:t xml:space="preserve">Ra </w:t>
            </w:r>
            <w:r>
              <w:rPr>
                <w:rFonts w:hint="eastAsia" w:ascii="宋体" w:hAnsi="宋体"/>
                <w:sz w:val="21"/>
                <w:szCs w:val="21"/>
                <w:lang w:eastAsia="zh-CN"/>
              </w:rPr>
              <w:t>≤0</w:t>
            </w:r>
            <w:r>
              <w:rPr>
                <w:rFonts w:ascii="宋体" w:hAnsi="宋体"/>
                <w:sz w:val="21"/>
                <w:szCs w:val="21"/>
                <w:lang w:eastAsia="zh-CN"/>
              </w:rPr>
              <w:t>.4</w:t>
            </w:r>
            <w:r>
              <w:rPr>
                <w:rFonts w:hint="eastAsia" w:ascii="宋体" w:hAnsi="宋体"/>
                <w:sz w:val="21"/>
                <w:szCs w:val="21"/>
                <w:lang w:eastAsia="zh-CN"/>
              </w:rPr>
              <w:t>μm。所有内室安装的不锈钢挡板，框架等应安装良好，不得出现安装尺寸不良，安装不平整的情况，应方便拆卸。</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line="276" w:lineRule="auto"/>
              <w:rPr>
                <w:rFonts w:ascii="宋体"/>
                <w:sz w:val="21"/>
                <w:szCs w:val="21"/>
                <w:lang w:eastAsia="zh-CN"/>
              </w:rPr>
            </w:pPr>
            <w:r>
              <w:rPr>
                <w:rFonts w:hint="eastAsia" w:ascii="宋体" w:hAnsi="宋体"/>
                <w:sz w:val="21"/>
                <w:szCs w:val="21"/>
                <w:lang w:eastAsia="zh-CN"/>
              </w:rPr>
              <w:t>加热元件采用优质</w:t>
            </w:r>
            <w:r>
              <w:rPr>
                <w:rFonts w:ascii="宋体" w:hAnsi="宋体"/>
                <w:sz w:val="21"/>
                <w:szCs w:val="21"/>
                <w:lang w:eastAsia="zh-CN"/>
              </w:rPr>
              <w:t>304</w:t>
            </w:r>
            <w:r>
              <w:rPr>
                <w:rFonts w:hint="eastAsia" w:ascii="宋体" w:hAnsi="宋体"/>
                <w:sz w:val="21"/>
                <w:szCs w:val="21"/>
                <w:lang w:eastAsia="zh-CN"/>
              </w:rPr>
              <w:t>不锈钢电热器，要求散热面积大，不易锈蚀变色，不得产尘。应考虑加热管安装位置和安装空间的问题，使热量传导迅速、散热均匀。</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line="276" w:lineRule="auto"/>
              <w:rPr>
                <w:rFonts w:ascii="宋体" w:cs="宋体"/>
                <w:sz w:val="21"/>
                <w:szCs w:val="21"/>
                <w:lang w:eastAsia="zh-CN"/>
              </w:rPr>
            </w:pPr>
            <w:r>
              <w:rPr>
                <w:rFonts w:hint="eastAsia" w:ascii="宋体" w:hAnsi="宋体"/>
                <w:sz w:val="21"/>
                <w:szCs w:val="21"/>
                <w:lang w:eastAsia="zh-CN"/>
              </w:rPr>
              <w:t>进风口高效、循环风高效和排风口高效都需要安装优质耐高温</w:t>
            </w:r>
            <w:r>
              <w:rPr>
                <w:rFonts w:ascii="宋体" w:hAnsi="宋体"/>
                <w:sz w:val="21"/>
                <w:szCs w:val="21"/>
                <w:lang w:eastAsia="zh-CN"/>
              </w:rPr>
              <w:t>350</w:t>
            </w:r>
            <w:r>
              <w:rPr>
                <w:rFonts w:hint="eastAsia" w:ascii="宋体" w:hAnsi="宋体"/>
                <w:sz w:val="21"/>
                <w:szCs w:val="21"/>
                <w:lang w:eastAsia="zh-CN"/>
              </w:rPr>
              <w:t>℃的进口品牌高效过滤器（H</w:t>
            </w:r>
            <w:r>
              <w:rPr>
                <w:rFonts w:ascii="宋体" w:hAnsi="宋体"/>
                <w:sz w:val="21"/>
                <w:szCs w:val="21"/>
                <w:lang w:eastAsia="zh-CN"/>
              </w:rPr>
              <w:t>14</w:t>
            </w:r>
            <w:r>
              <w:rPr>
                <w:rFonts w:hint="eastAsia" w:ascii="宋体" w:hAnsi="宋体"/>
                <w:sz w:val="21"/>
                <w:szCs w:val="21"/>
                <w:lang w:eastAsia="zh-CN"/>
              </w:rPr>
              <w:t>），过滤后空气洁净度达到</w:t>
            </w:r>
            <w:r>
              <w:rPr>
                <w:rFonts w:ascii="宋体" w:hAnsi="宋体"/>
                <w:sz w:val="21"/>
                <w:szCs w:val="21"/>
                <w:lang w:eastAsia="zh-CN"/>
              </w:rPr>
              <w:t>A</w:t>
            </w:r>
            <w:r>
              <w:rPr>
                <w:rFonts w:hint="eastAsia" w:ascii="宋体" w:hAnsi="宋体"/>
                <w:sz w:val="21"/>
                <w:szCs w:val="21"/>
                <w:lang w:eastAsia="zh-CN"/>
              </w:rPr>
              <w:t>级</w:t>
            </w:r>
            <w:r>
              <w:rPr>
                <w:rFonts w:hint="eastAsia" w:ascii="宋体" w:hAnsi="宋体" w:cs="宋体"/>
                <w:sz w:val="21"/>
                <w:szCs w:val="21"/>
                <w:lang w:eastAsia="zh-CN"/>
              </w:rPr>
              <w:t>。</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line="276" w:lineRule="auto"/>
              <w:rPr>
                <w:rFonts w:ascii="宋体" w:hAnsi="宋体"/>
                <w:sz w:val="21"/>
                <w:szCs w:val="21"/>
                <w:lang w:eastAsia="zh-CN"/>
              </w:rPr>
            </w:pPr>
            <w:r>
              <w:rPr>
                <w:rFonts w:hint="eastAsia" w:ascii="宋体" w:hAnsi="宋体"/>
                <w:sz w:val="21"/>
                <w:szCs w:val="21"/>
                <w:lang w:eastAsia="zh-CN"/>
              </w:rPr>
              <w:t>循环风机采用优质耐高温风机，功率适宜，要求风机运转稳定，噪音低，抗电网波动能力强，至少使用</w:t>
            </w:r>
            <w:r>
              <w:rPr>
                <w:rFonts w:ascii="宋体" w:hAnsi="宋体"/>
                <w:sz w:val="21"/>
                <w:szCs w:val="21"/>
                <w:lang w:eastAsia="zh-CN"/>
              </w:rPr>
              <w:t>3</w:t>
            </w:r>
            <w:r>
              <w:rPr>
                <w:rFonts w:hint="eastAsia" w:ascii="宋体" w:hAnsi="宋体"/>
                <w:sz w:val="21"/>
                <w:szCs w:val="21"/>
                <w:lang w:eastAsia="zh-CN"/>
              </w:rPr>
              <w:t>年不得损坏。</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line="276" w:lineRule="auto"/>
              <w:rPr>
                <w:rFonts w:ascii="宋体" w:hAnsi="宋体"/>
                <w:sz w:val="21"/>
                <w:szCs w:val="21"/>
                <w:lang w:eastAsia="zh-CN"/>
              </w:rPr>
            </w:pPr>
            <w:r>
              <w:rPr>
                <w:rFonts w:hint="eastAsia" w:ascii="宋体" w:hAnsi="宋体"/>
                <w:sz w:val="21"/>
                <w:szCs w:val="21"/>
                <w:lang w:eastAsia="zh-CN"/>
              </w:rPr>
              <w:t>隔热层厚度足够，在</w:t>
            </w:r>
            <w:r>
              <w:rPr>
                <w:rFonts w:ascii="宋体" w:hAnsi="宋体"/>
                <w:sz w:val="21"/>
                <w:szCs w:val="21"/>
                <w:lang w:eastAsia="zh-CN"/>
              </w:rPr>
              <w:t>25</w:t>
            </w:r>
            <w:r>
              <w:rPr>
                <w:rFonts w:hint="eastAsia" w:ascii="宋体" w:hAnsi="宋体"/>
                <w:sz w:val="21"/>
                <w:szCs w:val="21"/>
                <w:lang w:eastAsia="zh-CN"/>
              </w:rPr>
              <w:t>℃环境温度下，其表面温度不高于</w:t>
            </w:r>
            <w:r>
              <w:rPr>
                <w:rFonts w:ascii="宋体" w:hAnsi="宋体"/>
                <w:sz w:val="21"/>
                <w:szCs w:val="21"/>
                <w:lang w:eastAsia="zh-CN"/>
              </w:rPr>
              <w:t>45</w:t>
            </w:r>
            <w:r>
              <w:rPr>
                <w:rFonts w:hint="eastAsia" w:ascii="宋体" w:hAnsi="宋体"/>
                <w:sz w:val="21"/>
                <w:szCs w:val="21"/>
                <w:lang w:eastAsia="zh-CN"/>
              </w:rPr>
              <w:t>℃。隔热层采用厚度≥</w:t>
            </w:r>
            <w:r>
              <w:rPr>
                <w:rFonts w:ascii="宋体" w:hAnsi="宋体"/>
                <w:sz w:val="21"/>
                <w:szCs w:val="21"/>
                <w:lang w:eastAsia="zh-CN"/>
              </w:rPr>
              <w:t>1mm</w:t>
            </w:r>
            <w:r>
              <w:rPr>
                <w:rFonts w:hint="eastAsia" w:ascii="宋体" w:hAnsi="宋体"/>
                <w:sz w:val="21"/>
                <w:szCs w:val="21"/>
                <w:lang w:eastAsia="zh-CN"/>
              </w:rPr>
              <w:t>的全不锈钢包裹，隔热皮采用满焊，密封严实，不得裸露内部隔热材料、不得有可见缝隙，可耐水、汽的入侵；隔热皮不得有未密封的沙眼，以免水汽进入其中造成腐蚀。隔热材料不得使用石棉。</w:t>
            </w:r>
            <w:r>
              <w:rPr>
                <w:rFonts w:ascii="宋体"/>
                <w:color w:val="000000"/>
                <w:sz w:val="21"/>
                <w:szCs w:val="21"/>
                <w:lang w:eastAsia="zh-CN"/>
              </w:rPr>
              <w:t>FAT</w:t>
            </w:r>
            <w:r>
              <w:rPr>
                <w:rFonts w:hint="eastAsia" w:ascii="宋体"/>
                <w:color w:val="000000"/>
                <w:sz w:val="21"/>
                <w:szCs w:val="21"/>
                <w:lang w:eastAsia="zh-CN"/>
              </w:rPr>
              <w:t>时需对隔热效果进行测试，必须满足要求。</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line="276" w:lineRule="auto"/>
              <w:rPr>
                <w:rFonts w:ascii="宋体"/>
                <w:sz w:val="21"/>
                <w:szCs w:val="21"/>
                <w:lang w:eastAsia="zh-CN"/>
              </w:rPr>
            </w:pPr>
            <w:r>
              <w:rPr>
                <w:rFonts w:hint="eastAsia" w:ascii="宋体" w:hAnsi="宋体"/>
                <w:sz w:val="21"/>
                <w:szCs w:val="21"/>
                <w:lang w:eastAsia="zh-CN"/>
              </w:rPr>
              <w:t>柜体外部框架、底座等必须涂刷优秀防水、防锈的材料；不得有金属材料直接暴露在空气中；即使泡水也不会生锈。</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line="276" w:lineRule="auto"/>
              <w:rPr>
                <w:rFonts w:ascii="宋体"/>
                <w:color w:val="FF0000"/>
                <w:sz w:val="21"/>
                <w:szCs w:val="21"/>
                <w:lang w:eastAsia="zh-CN"/>
              </w:rPr>
            </w:pPr>
            <w:r>
              <w:rPr>
                <w:rFonts w:hint="eastAsia" w:ascii="宋体" w:hAnsi="宋体"/>
                <w:color w:val="000000"/>
                <w:sz w:val="21"/>
                <w:szCs w:val="21"/>
                <w:lang w:val="en-US" w:eastAsia="zh-CN"/>
              </w:rPr>
              <w:t>柜门密封圈使用耐高温密封圈，正常使用不脱落碎屑。</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line="276" w:lineRule="auto"/>
              <w:rPr>
                <w:rFonts w:ascii="宋体"/>
                <w:sz w:val="21"/>
                <w:szCs w:val="21"/>
                <w:lang w:eastAsia="zh-CN"/>
              </w:rPr>
            </w:pPr>
            <w:r>
              <w:rPr>
                <w:rFonts w:hint="eastAsia" w:ascii="宋体" w:hAnsi="宋体"/>
                <w:sz w:val="21"/>
                <w:szCs w:val="21"/>
                <w:lang w:eastAsia="zh-CN"/>
              </w:rPr>
              <w:t>控制系统的关键电气元件使用进口品牌，控制系统需要安装良好有效的保护电路。</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line="276" w:lineRule="auto"/>
              <w:rPr>
                <w:rFonts w:ascii="宋体"/>
                <w:sz w:val="21"/>
                <w:szCs w:val="21"/>
                <w:lang w:eastAsia="zh-CN"/>
              </w:rPr>
            </w:pPr>
            <w:r>
              <w:rPr>
                <w:rFonts w:hint="eastAsia" w:ascii="宋体" w:hAnsi="宋体"/>
                <w:sz w:val="21"/>
                <w:szCs w:val="21"/>
                <w:lang w:eastAsia="zh-CN"/>
              </w:rPr>
              <w:t>干燥箱内所有材料不会因高温等原因而释放出导致危害健康与环境的有毒物质。</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line="276" w:lineRule="auto"/>
              <w:rPr>
                <w:rFonts w:ascii="宋体" w:hAnsi="宋体"/>
                <w:sz w:val="21"/>
                <w:szCs w:val="21"/>
                <w:lang w:eastAsia="zh-CN"/>
              </w:rPr>
            </w:pPr>
            <w:r>
              <w:rPr>
                <w:rFonts w:hint="eastAsia" w:ascii="宋体" w:hAnsi="宋体"/>
                <w:sz w:val="21"/>
                <w:szCs w:val="21"/>
                <w:lang w:eastAsia="zh-CN"/>
              </w:rPr>
              <w:t>需要在显眼处设置至少包含以下信息的铭牌：制造</w:t>
            </w:r>
            <w:r>
              <w:rPr>
                <w:rFonts w:ascii="宋体" w:hAnsi="宋体"/>
                <w:sz w:val="21"/>
                <w:szCs w:val="21"/>
                <w:lang w:eastAsia="zh-CN"/>
              </w:rPr>
              <w:t>/</w:t>
            </w:r>
            <w:r>
              <w:rPr>
                <w:rFonts w:hint="eastAsia" w:ascii="宋体" w:hAnsi="宋体"/>
                <w:sz w:val="21"/>
                <w:szCs w:val="21"/>
                <w:lang w:eastAsia="zh-CN"/>
              </w:rPr>
              <w:t>供应单位；产品注册号；型号；生产日期、编号等。</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after="0" w:line="276" w:lineRule="auto"/>
              <w:rPr>
                <w:rFonts w:ascii="宋体" w:cs="Arial"/>
                <w:sz w:val="21"/>
                <w:szCs w:val="21"/>
                <w:lang w:eastAsia="zh-CN"/>
              </w:rPr>
            </w:pPr>
            <w:r>
              <w:rPr>
                <w:rFonts w:hint="eastAsia" w:ascii="宋体" w:hAnsi="宋体" w:cs="Arial"/>
                <w:sz w:val="21"/>
                <w:szCs w:val="21"/>
                <w:lang w:eastAsia="zh-CN"/>
              </w:rPr>
              <w:t>标识：至少应有以下永久贴牢和清楚易认的标识：</w:t>
            </w:r>
          </w:p>
          <w:p>
            <w:pPr>
              <w:pStyle w:val="7"/>
              <w:spacing w:after="0" w:line="276" w:lineRule="auto"/>
              <w:rPr>
                <w:rFonts w:ascii="宋体" w:cs="Arial"/>
                <w:sz w:val="21"/>
                <w:szCs w:val="21"/>
                <w:lang w:eastAsia="zh-CN"/>
              </w:rPr>
            </w:pPr>
            <w:r>
              <w:rPr>
                <w:rFonts w:hint="eastAsia" w:ascii="宋体" w:hAnsi="宋体" w:cs="Arial"/>
                <w:sz w:val="21"/>
                <w:szCs w:val="21"/>
                <w:lang w:eastAsia="zh-CN"/>
              </w:rPr>
              <w:t>（</w:t>
            </w:r>
            <w:r>
              <w:rPr>
                <w:rFonts w:ascii="宋体" w:hAnsi="宋体" w:cs="Arial"/>
                <w:sz w:val="21"/>
                <w:szCs w:val="21"/>
                <w:lang w:eastAsia="zh-CN"/>
              </w:rPr>
              <w:t>1</w:t>
            </w:r>
            <w:r>
              <w:rPr>
                <w:rFonts w:hint="eastAsia" w:ascii="宋体" w:hAnsi="宋体" w:cs="Arial"/>
                <w:sz w:val="21"/>
                <w:szCs w:val="21"/>
                <w:lang w:eastAsia="zh-CN"/>
              </w:rPr>
              <w:t>）制造</w:t>
            </w:r>
            <w:r>
              <w:rPr>
                <w:rFonts w:ascii="宋体" w:hAnsi="宋体" w:cs="Arial"/>
                <w:sz w:val="21"/>
                <w:szCs w:val="21"/>
                <w:lang w:eastAsia="zh-CN"/>
              </w:rPr>
              <w:t>/</w:t>
            </w:r>
            <w:r>
              <w:rPr>
                <w:rFonts w:hint="eastAsia" w:ascii="宋体" w:hAnsi="宋体" w:cs="Arial"/>
                <w:sz w:val="21"/>
                <w:szCs w:val="21"/>
                <w:lang w:eastAsia="zh-CN"/>
              </w:rPr>
              <w:t>供应单位；</w:t>
            </w:r>
          </w:p>
          <w:p>
            <w:pPr>
              <w:pStyle w:val="7"/>
              <w:spacing w:after="0" w:line="276" w:lineRule="auto"/>
              <w:rPr>
                <w:rFonts w:ascii="宋体" w:cs="Arial"/>
                <w:sz w:val="21"/>
                <w:szCs w:val="21"/>
                <w:lang w:eastAsia="zh-CN"/>
              </w:rPr>
            </w:pPr>
            <w:r>
              <w:rPr>
                <w:rFonts w:hint="eastAsia" w:ascii="宋体" w:hAnsi="宋体" w:cs="Arial"/>
                <w:sz w:val="21"/>
                <w:szCs w:val="21"/>
                <w:lang w:eastAsia="zh-CN"/>
              </w:rPr>
              <w:t>（</w:t>
            </w:r>
            <w:r>
              <w:rPr>
                <w:rFonts w:ascii="宋体" w:hAnsi="宋体" w:cs="Arial"/>
                <w:sz w:val="21"/>
                <w:szCs w:val="21"/>
                <w:lang w:eastAsia="zh-CN"/>
              </w:rPr>
              <w:t>2</w:t>
            </w:r>
            <w:r>
              <w:rPr>
                <w:rFonts w:hint="eastAsia" w:ascii="宋体" w:hAnsi="宋体" w:cs="Arial"/>
                <w:sz w:val="21"/>
                <w:szCs w:val="21"/>
                <w:lang w:eastAsia="zh-CN"/>
              </w:rPr>
              <w:t>）产品注册号；</w:t>
            </w:r>
          </w:p>
          <w:p>
            <w:pPr>
              <w:pStyle w:val="7"/>
              <w:spacing w:after="0" w:line="276" w:lineRule="auto"/>
              <w:rPr>
                <w:rFonts w:ascii="宋体" w:cs="Arial"/>
                <w:sz w:val="21"/>
                <w:szCs w:val="21"/>
                <w:lang w:eastAsia="zh-CN"/>
              </w:rPr>
            </w:pPr>
            <w:r>
              <w:rPr>
                <w:rFonts w:hint="eastAsia" w:ascii="宋体" w:hAnsi="宋体" w:cs="Arial"/>
                <w:sz w:val="21"/>
                <w:szCs w:val="21"/>
                <w:lang w:eastAsia="zh-CN"/>
              </w:rPr>
              <w:t>（</w:t>
            </w:r>
            <w:r>
              <w:rPr>
                <w:rFonts w:ascii="宋体" w:hAnsi="宋体" w:cs="Arial"/>
                <w:sz w:val="21"/>
                <w:szCs w:val="21"/>
                <w:lang w:eastAsia="zh-CN"/>
              </w:rPr>
              <w:t>3</w:t>
            </w:r>
            <w:r>
              <w:rPr>
                <w:rFonts w:hint="eastAsia" w:ascii="宋体" w:hAnsi="宋体" w:cs="Arial"/>
                <w:sz w:val="21"/>
                <w:szCs w:val="21"/>
                <w:lang w:eastAsia="zh-CN"/>
              </w:rPr>
              <w:t>）型号；</w:t>
            </w:r>
          </w:p>
          <w:p>
            <w:pPr>
              <w:pStyle w:val="7"/>
              <w:spacing w:after="0" w:line="276" w:lineRule="auto"/>
              <w:rPr>
                <w:rFonts w:ascii="宋体" w:cs="Arial"/>
                <w:sz w:val="21"/>
                <w:szCs w:val="21"/>
                <w:lang w:eastAsia="zh-CN"/>
              </w:rPr>
            </w:pPr>
            <w:r>
              <w:rPr>
                <w:rFonts w:hint="eastAsia" w:ascii="宋体" w:hAnsi="宋体" w:cs="Arial"/>
                <w:sz w:val="21"/>
                <w:szCs w:val="21"/>
                <w:lang w:eastAsia="zh-CN"/>
              </w:rPr>
              <w:t>（</w:t>
            </w:r>
            <w:r>
              <w:rPr>
                <w:rFonts w:ascii="宋体" w:hAnsi="宋体" w:cs="Arial"/>
                <w:sz w:val="21"/>
                <w:szCs w:val="21"/>
                <w:lang w:eastAsia="zh-CN"/>
              </w:rPr>
              <w:t>4</w:t>
            </w:r>
            <w:r>
              <w:rPr>
                <w:rFonts w:hint="eastAsia" w:ascii="宋体" w:hAnsi="宋体" w:cs="Arial"/>
                <w:sz w:val="21"/>
                <w:szCs w:val="21"/>
                <w:lang w:eastAsia="zh-CN"/>
              </w:rPr>
              <w:t>）生产日期或编号；</w:t>
            </w:r>
          </w:p>
          <w:p>
            <w:pPr>
              <w:pStyle w:val="7"/>
              <w:spacing w:after="0" w:line="276" w:lineRule="auto"/>
              <w:rPr>
                <w:rFonts w:ascii="宋体" w:cs="Arial"/>
                <w:sz w:val="21"/>
                <w:szCs w:val="21"/>
                <w:lang w:eastAsia="zh-CN"/>
              </w:rPr>
            </w:pPr>
            <w:r>
              <w:rPr>
                <w:rFonts w:hint="eastAsia" w:ascii="宋体" w:hAnsi="宋体" w:cs="Arial"/>
                <w:sz w:val="21"/>
                <w:szCs w:val="21"/>
                <w:lang w:eastAsia="zh-CN"/>
              </w:rPr>
              <w:t>（</w:t>
            </w:r>
            <w:r>
              <w:rPr>
                <w:rFonts w:ascii="宋体" w:hAnsi="宋体" w:cs="Arial"/>
                <w:sz w:val="21"/>
                <w:szCs w:val="21"/>
                <w:lang w:eastAsia="zh-CN"/>
              </w:rPr>
              <w:t>5</w:t>
            </w:r>
            <w:r>
              <w:rPr>
                <w:rFonts w:hint="eastAsia" w:ascii="宋体" w:hAnsi="宋体" w:cs="Arial"/>
                <w:sz w:val="21"/>
                <w:szCs w:val="21"/>
                <w:lang w:eastAsia="zh-CN"/>
              </w:rPr>
              <w:t>）对设备必要的说明，包括容器净重、设计温度、工作温度、容积等；</w:t>
            </w:r>
          </w:p>
          <w:p>
            <w:pPr>
              <w:pStyle w:val="7"/>
              <w:spacing w:after="0" w:line="276" w:lineRule="auto"/>
              <w:rPr>
                <w:rFonts w:ascii="宋体" w:cs="Arial"/>
                <w:sz w:val="21"/>
                <w:szCs w:val="21"/>
                <w:lang w:eastAsia="zh-CN"/>
              </w:rPr>
            </w:pPr>
            <w:r>
              <w:rPr>
                <w:rFonts w:hint="eastAsia" w:ascii="宋体" w:hAnsi="宋体" w:cs="Arial"/>
                <w:sz w:val="21"/>
                <w:szCs w:val="21"/>
                <w:lang w:eastAsia="zh-CN"/>
              </w:rPr>
              <w:t>（</w:t>
            </w:r>
            <w:r>
              <w:rPr>
                <w:rFonts w:ascii="宋体" w:hAnsi="宋体" w:cs="Arial"/>
                <w:sz w:val="21"/>
                <w:szCs w:val="21"/>
                <w:lang w:eastAsia="zh-CN"/>
              </w:rPr>
              <w:t>6</w:t>
            </w:r>
            <w:r>
              <w:rPr>
                <w:rFonts w:hint="eastAsia" w:ascii="宋体" w:hAnsi="宋体" w:cs="Arial"/>
                <w:sz w:val="21"/>
                <w:szCs w:val="21"/>
                <w:lang w:eastAsia="zh-CN"/>
              </w:rPr>
              <w:t>）产品标准、许可证编号；</w:t>
            </w:r>
          </w:p>
        </w:tc>
        <w:tc>
          <w:tcPr>
            <w:tcW w:w="2125" w:type="dxa"/>
            <w:shd w:val="clear" w:color="auto" w:fill="auto"/>
            <w:vAlign w:val="center"/>
          </w:tcPr>
          <w:p>
            <w:pPr>
              <w:jc w:val="center"/>
              <w:rPr>
                <w:szCs w:val="21"/>
                <w:lang w:eastAsia="zh-CN"/>
              </w:rPr>
            </w:pPr>
            <w:r>
              <w:rPr>
                <w:rFonts w:hint="eastAsia"/>
                <w:szCs w:val="21"/>
                <w:lang w:eastAsia="zh-CN"/>
              </w:rPr>
              <w:t>关键</w:t>
            </w:r>
          </w:p>
        </w:tc>
      </w:tr>
      <w:bookmarkEnd w:id="23"/>
      <w:bookmarkEnd w:id="24"/>
      <w:permEnd w:id="19"/>
    </w:tbl>
    <w:p>
      <w:pPr>
        <w:pStyle w:val="31"/>
        <w:spacing w:after="158" w:afterLines="50"/>
        <w:ind w:left="425" w:firstLine="0" w:firstLineChars="0"/>
        <w:rPr>
          <w:rFonts w:ascii="Times New Roman" w:hAnsi="Times New Roman"/>
          <w:szCs w:val="21"/>
        </w:rPr>
      </w:pPr>
    </w:p>
    <w:p>
      <w:pPr>
        <w:pStyle w:val="31"/>
        <w:numPr>
          <w:ilvl w:val="0"/>
          <w:numId w:val="3"/>
        </w:numPr>
        <w:spacing w:after="158" w:afterLines="50"/>
        <w:ind w:left="426" w:hanging="426" w:hangingChars="202"/>
        <w:outlineLvl w:val="0"/>
        <w:rPr>
          <w:rFonts w:ascii="Times New Roman" w:hAnsi="Times New Roman"/>
          <w:b/>
        </w:rPr>
      </w:pPr>
      <w:bookmarkStart w:id="25" w:name="_Toc522107740"/>
      <w:bookmarkStart w:id="26" w:name="_Toc522716121"/>
      <w:r>
        <w:rPr>
          <w:rFonts w:ascii="Times New Roman" w:hAnsi="Times New Roman"/>
          <w:b/>
        </w:rPr>
        <w:t>运行要求</w:t>
      </w:r>
      <w:bookmarkEnd w:id="25"/>
      <w:bookmarkEnd w:id="26"/>
    </w:p>
    <w:p>
      <w:pPr>
        <w:pStyle w:val="41"/>
        <w:spacing w:before="0" w:line="360" w:lineRule="auto"/>
        <w:ind w:left="357"/>
        <w:jc w:val="left"/>
        <w:rPr>
          <w:bCs/>
          <w:i/>
          <w:color w:val="4472C4"/>
          <w:kern w:val="44"/>
          <w:szCs w:val="21"/>
          <w:lang w:eastAsia="zh-CN"/>
        </w:rPr>
      </w:pPr>
      <w:permStart w:id="20" w:edGrp="everyone"/>
    </w:p>
    <w:permEnd w:id="20"/>
    <w:tbl>
      <w:tblPr>
        <w:tblStyle w:val="19"/>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8"/>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lang w:eastAsia="zh-CN"/>
              </w:rPr>
              <w:t>原辅料、包装材料、产品的规格标准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tcBorders>
              <w:bottom w:val="single" w:color="auto" w:sz="4" w:space="0"/>
            </w:tcBorders>
            <w:shd w:val="clear" w:color="auto" w:fill="D8D8D8" w:themeFill="background1" w:themeFillShade="D9"/>
            <w:vAlign w:val="center"/>
          </w:tcPr>
          <w:p>
            <w:pPr>
              <w:ind w:left="426"/>
              <w:rPr>
                <w:szCs w:val="21"/>
                <w:lang w:eastAsia="zh-CN"/>
              </w:rPr>
            </w:pPr>
            <w:permStart w:id="21" w:edGrp="everyone"/>
          </w:p>
        </w:tc>
        <w:tc>
          <w:tcPr>
            <w:tcW w:w="9253" w:type="dxa"/>
            <w:gridSpan w:val="2"/>
            <w:shd w:val="clear" w:color="auto" w:fill="auto"/>
            <w:vAlign w:val="center"/>
          </w:tcPr>
          <w:p>
            <w:pPr>
              <w:jc w:val="both"/>
              <w:rPr>
                <w:szCs w:val="21"/>
                <w:lang w:eastAsia="zh-CN"/>
              </w:rPr>
            </w:pPr>
            <w:r>
              <w:rPr>
                <w:rFonts w:ascii="宋体" w:hAnsi="宋体" w:cs="Arial"/>
                <w:szCs w:val="21"/>
                <w:lang w:eastAsia="zh-CN"/>
              </w:rPr>
              <w:t>N/A</w:t>
            </w:r>
          </w:p>
        </w:tc>
      </w:tr>
      <w:permEnd w:id="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8"/>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rPr>
              <w:t>设备效率、产能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22" w:edGrp="everyone"/>
          </w:p>
        </w:tc>
        <w:tc>
          <w:tcPr>
            <w:tcW w:w="7128" w:type="dxa"/>
            <w:shd w:val="clear" w:color="auto" w:fill="auto"/>
            <w:vAlign w:val="center"/>
          </w:tcPr>
          <w:p>
            <w:pPr>
              <w:spacing w:line="276" w:lineRule="auto"/>
              <w:jc w:val="both"/>
              <w:rPr>
                <w:szCs w:val="21"/>
                <w:lang w:eastAsia="zh-CN"/>
              </w:rPr>
            </w:pPr>
            <w:r>
              <w:rPr>
                <w:rFonts w:hint="eastAsia" w:ascii="宋体" w:hAnsi="宋体" w:cs="Arial"/>
                <w:szCs w:val="21"/>
                <w:lang w:eastAsia="zh-CN"/>
              </w:rPr>
              <w:t>灭菌内室空</w:t>
            </w:r>
            <w:r>
              <w:rPr>
                <w:rFonts w:hint="eastAsia" w:ascii="宋体" w:hAnsi="宋体" w:cs="Arial"/>
                <w:color w:val="000000" w:themeColor="text1"/>
                <w:szCs w:val="21"/>
                <w:lang w:eastAsia="zh-CN"/>
              </w:rPr>
              <w:t>间为</w:t>
            </w:r>
            <w:r>
              <w:rPr>
                <w:rFonts w:hint="eastAsia" w:ascii="宋体" w:hAnsi="宋体" w:cs="Arial"/>
                <w:color w:val="000000" w:themeColor="text1"/>
                <w:szCs w:val="21"/>
                <w:lang w:val="en-US" w:eastAsia="zh-CN"/>
              </w:rPr>
              <w:t>3</w:t>
            </w:r>
            <w:r>
              <w:rPr>
                <w:rFonts w:ascii="宋体" w:hAnsi="宋体" w:cs="Arial"/>
                <w:color w:val="000000" w:themeColor="text1"/>
                <w:szCs w:val="21"/>
                <w:lang w:eastAsia="zh-CN"/>
              </w:rPr>
              <w:t>m</w:t>
            </w:r>
            <w:r>
              <w:rPr>
                <w:rFonts w:hint="eastAsia" w:ascii="宋体" w:hAnsi="宋体" w:cs="Arial"/>
                <w:color w:val="000000" w:themeColor="text1"/>
                <w:szCs w:val="21"/>
                <w:lang w:eastAsia="zh-CN"/>
              </w:rPr>
              <w:t>³</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8"/>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rPr>
              <w:t>工艺参数范围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23" w:edGrp="everyone"/>
          </w:p>
        </w:tc>
        <w:tc>
          <w:tcPr>
            <w:tcW w:w="7128" w:type="dxa"/>
            <w:shd w:val="clear" w:color="auto" w:fill="auto"/>
            <w:vAlign w:val="center"/>
          </w:tcPr>
          <w:p>
            <w:pPr>
              <w:pStyle w:val="7"/>
              <w:rPr>
                <w:rFonts w:ascii="宋体" w:hAnsi="宋体"/>
                <w:sz w:val="21"/>
                <w:szCs w:val="21"/>
                <w:lang w:val="en-US" w:eastAsia="zh-CN"/>
              </w:rPr>
            </w:pPr>
            <w:r>
              <w:rPr>
                <w:rFonts w:ascii="宋体" w:hAnsi="宋体" w:cs="Arial"/>
                <w:sz w:val="21"/>
                <w:szCs w:val="21"/>
                <w:lang w:eastAsia="zh-CN"/>
              </w:rPr>
              <w:t>1.</w:t>
            </w:r>
            <w:r>
              <w:rPr>
                <w:rFonts w:hint="eastAsia" w:ascii="宋体" w:hAnsi="宋体" w:cs="Arial"/>
                <w:sz w:val="21"/>
                <w:szCs w:val="21"/>
                <w:lang w:eastAsia="zh-CN"/>
              </w:rPr>
              <w:t>灭菌</w:t>
            </w:r>
            <w:r>
              <w:rPr>
                <w:rFonts w:ascii="宋体" w:hAnsi="宋体" w:cs="Arial"/>
                <w:sz w:val="21"/>
                <w:szCs w:val="21"/>
                <w:lang w:eastAsia="zh-CN"/>
              </w:rPr>
              <w:t>180</w:t>
            </w:r>
            <w:r>
              <w:rPr>
                <w:rFonts w:hint="eastAsia" w:ascii="宋体"/>
                <w:color w:val="000000"/>
                <w:sz w:val="21"/>
                <w:szCs w:val="21"/>
                <w:lang w:val="en-US" w:eastAsia="zh-CN"/>
              </w:rPr>
              <w:t>℃空载时，灭菌段内室温度为</w:t>
            </w:r>
            <w:r>
              <w:rPr>
                <w:rFonts w:ascii="宋体"/>
                <w:color w:val="000000"/>
                <w:sz w:val="21"/>
                <w:szCs w:val="21"/>
                <w:lang w:val="en-US" w:eastAsia="zh-CN"/>
              </w:rPr>
              <w:t>180</w:t>
            </w:r>
            <w:r>
              <w:rPr>
                <w:rFonts w:hint="eastAsia" w:ascii="宋体"/>
                <w:color w:val="000000"/>
                <w:sz w:val="21"/>
                <w:szCs w:val="21"/>
                <w:lang w:val="en-US" w:eastAsia="zh-CN"/>
              </w:rPr>
              <w:t>℃±5℃</w:t>
            </w:r>
            <w:r>
              <w:rPr>
                <w:rFonts w:hint="eastAsia" w:ascii="宋体" w:hAnsi="宋体"/>
                <w:sz w:val="21"/>
                <w:szCs w:val="21"/>
                <w:lang w:val="en-US" w:eastAsia="zh-CN"/>
              </w:rPr>
              <w:t>，</w:t>
            </w:r>
            <w:r>
              <w:rPr>
                <w:rFonts w:hint="eastAsia" w:ascii="宋体" w:hAnsi="宋体"/>
                <w:sz w:val="21"/>
                <w:szCs w:val="21"/>
                <w:lang w:eastAsia="zh-CN"/>
              </w:rPr>
              <w:t>同一时刻腔室各点的差值不应超过</w:t>
            </w:r>
            <w:r>
              <w:rPr>
                <w:rFonts w:ascii="宋体" w:hAnsi="宋体"/>
                <w:sz w:val="21"/>
                <w:szCs w:val="21"/>
                <w:lang w:val="en-US" w:eastAsia="zh-CN"/>
              </w:rPr>
              <w:t>5</w:t>
            </w:r>
            <w:r>
              <w:rPr>
                <w:rFonts w:hint="eastAsia" w:ascii="宋体" w:hAnsi="宋体"/>
                <w:sz w:val="21"/>
                <w:szCs w:val="21"/>
                <w:lang w:eastAsia="zh-CN"/>
              </w:rPr>
              <w:t>℃。除热源</w:t>
            </w:r>
            <w:r>
              <w:rPr>
                <w:rFonts w:ascii="宋体" w:hAnsi="宋体"/>
                <w:sz w:val="21"/>
                <w:szCs w:val="21"/>
                <w:lang w:eastAsia="zh-CN"/>
              </w:rPr>
              <w:t>250</w:t>
            </w:r>
            <w:r>
              <w:rPr>
                <w:rFonts w:hint="eastAsia" w:ascii="宋体"/>
                <w:color w:val="000000"/>
                <w:sz w:val="21"/>
                <w:szCs w:val="21"/>
                <w:lang w:val="en-US" w:eastAsia="zh-CN"/>
              </w:rPr>
              <w:t>℃空载时，灭菌段内室温度为</w:t>
            </w:r>
            <w:r>
              <w:rPr>
                <w:rFonts w:ascii="宋体"/>
                <w:color w:val="000000"/>
                <w:sz w:val="21"/>
                <w:szCs w:val="21"/>
                <w:lang w:val="en-US" w:eastAsia="zh-CN"/>
              </w:rPr>
              <w:t>250</w:t>
            </w:r>
            <w:r>
              <w:rPr>
                <w:rFonts w:hint="eastAsia" w:ascii="宋体"/>
                <w:color w:val="000000"/>
                <w:sz w:val="21"/>
                <w:szCs w:val="21"/>
                <w:lang w:val="en-US" w:eastAsia="zh-CN"/>
              </w:rPr>
              <w:t>℃±</w:t>
            </w:r>
            <w:r>
              <w:rPr>
                <w:rFonts w:ascii="宋体"/>
                <w:color w:val="000000"/>
                <w:sz w:val="21"/>
                <w:szCs w:val="21"/>
                <w:lang w:val="en-US" w:eastAsia="zh-CN"/>
              </w:rPr>
              <w:t>5</w:t>
            </w:r>
            <w:r>
              <w:rPr>
                <w:rFonts w:hint="eastAsia" w:ascii="宋体"/>
                <w:color w:val="000000"/>
                <w:sz w:val="21"/>
                <w:szCs w:val="21"/>
                <w:lang w:val="en-US" w:eastAsia="zh-CN"/>
              </w:rPr>
              <w:t>℃</w:t>
            </w:r>
            <w:r>
              <w:rPr>
                <w:rFonts w:hint="eastAsia" w:ascii="宋体" w:hAnsi="宋体"/>
                <w:sz w:val="21"/>
                <w:szCs w:val="21"/>
                <w:lang w:val="en-US" w:eastAsia="zh-CN"/>
              </w:rPr>
              <w:t>，同一时刻腔室各点的差值不应超过</w:t>
            </w:r>
            <w:r>
              <w:rPr>
                <w:rFonts w:ascii="宋体" w:hAnsi="宋体"/>
                <w:sz w:val="21"/>
                <w:szCs w:val="21"/>
                <w:lang w:val="en-US" w:eastAsia="zh-CN"/>
              </w:rPr>
              <w:t>10</w:t>
            </w:r>
            <w:r>
              <w:rPr>
                <w:rFonts w:hint="eastAsia" w:ascii="宋体" w:hAnsi="宋体"/>
                <w:sz w:val="21"/>
                <w:szCs w:val="21"/>
                <w:lang w:val="en-US" w:eastAsia="zh-CN"/>
              </w:rPr>
              <w:t>℃。</w:t>
            </w:r>
          </w:p>
          <w:p>
            <w:pPr>
              <w:pStyle w:val="7"/>
              <w:rPr>
                <w:rFonts w:ascii="宋体" w:hAnsi="宋体"/>
                <w:sz w:val="21"/>
                <w:szCs w:val="21"/>
                <w:lang w:val="en-US" w:eastAsia="zh-CN"/>
              </w:rPr>
            </w:pPr>
            <w:r>
              <w:rPr>
                <w:rFonts w:ascii="宋体" w:hAnsi="宋体"/>
                <w:sz w:val="21"/>
                <w:szCs w:val="21"/>
                <w:lang w:val="en-US" w:eastAsia="zh-CN"/>
              </w:rPr>
              <w:t>2.</w:t>
            </w:r>
            <w:r>
              <w:rPr>
                <w:rFonts w:hint="eastAsia" w:ascii="宋体" w:hAnsi="宋体"/>
                <w:sz w:val="21"/>
                <w:szCs w:val="21"/>
                <w:lang w:val="en-US" w:eastAsia="zh-CN"/>
              </w:rPr>
              <w:t>灭菌</w:t>
            </w:r>
            <w:r>
              <w:rPr>
                <w:rFonts w:ascii="宋体" w:hAnsi="宋体"/>
                <w:sz w:val="21"/>
                <w:szCs w:val="21"/>
                <w:lang w:val="en-US" w:eastAsia="zh-CN"/>
              </w:rPr>
              <w:t>180</w:t>
            </w:r>
            <w:r>
              <w:rPr>
                <w:rFonts w:hint="eastAsia" w:ascii="宋体" w:hAnsi="宋体"/>
                <w:sz w:val="21"/>
                <w:szCs w:val="21"/>
                <w:lang w:val="en-US" w:eastAsia="zh-CN"/>
              </w:rPr>
              <w:t>℃满载时，灭菌段内室物品各点温度</w:t>
            </w:r>
            <w:r>
              <w:rPr>
                <w:rFonts w:ascii="宋体" w:hAnsi="宋体"/>
                <w:sz w:val="21"/>
                <w:szCs w:val="21"/>
                <w:lang w:val="en-US" w:eastAsia="zh-CN"/>
              </w:rPr>
              <w:t>180</w:t>
            </w:r>
            <w:r>
              <w:rPr>
                <w:rFonts w:hint="eastAsia" w:ascii="宋体" w:hAnsi="宋体"/>
                <w:sz w:val="21"/>
                <w:szCs w:val="21"/>
                <w:lang w:val="en-US" w:eastAsia="zh-CN"/>
              </w:rPr>
              <w:t>℃±</w:t>
            </w:r>
            <w:r>
              <w:rPr>
                <w:rFonts w:ascii="宋体" w:hAnsi="宋体"/>
                <w:sz w:val="21"/>
                <w:szCs w:val="21"/>
                <w:lang w:val="en-US" w:eastAsia="zh-CN"/>
              </w:rPr>
              <w:t>10</w:t>
            </w:r>
            <w:r>
              <w:rPr>
                <w:rFonts w:hint="eastAsia" w:ascii="宋体" w:hAnsi="宋体"/>
                <w:sz w:val="21"/>
                <w:szCs w:val="21"/>
                <w:lang w:val="en-US" w:eastAsia="zh-CN"/>
              </w:rPr>
              <w:t>℃，升温时间控制在1小时以内；灭菌时间为</w:t>
            </w:r>
            <w:r>
              <w:rPr>
                <w:rFonts w:ascii="宋体" w:hAnsi="宋体"/>
                <w:sz w:val="21"/>
                <w:szCs w:val="21"/>
                <w:lang w:val="en-US" w:eastAsia="zh-CN"/>
              </w:rPr>
              <w:t>120</w:t>
            </w:r>
            <w:r>
              <w:rPr>
                <w:rFonts w:hint="eastAsia" w:ascii="宋体" w:hAnsi="宋体"/>
                <w:sz w:val="21"/>
                <w:szCs w:val="21"/>
                <w:lang w:val="en-US" w:eastAsia="zh-CN"/>
              </w:rPr>
              <w:t>分钟，</w:t>
            </w:r>
            <w:r>
              <w:rPr>
                <w:rFonts w:ascii="宋体" w:hAnsi="宋体"/>
                <w:sz w:val="21"/>
                <w:szCs w:val="21"/>
                <w:lang w:val="en-US" w:eastAsia="zh-CN"/>
              </w:rPr>
              <w:t>FH</w:t>
            </w:r>
            <w:r>
              <w:rPr>
                <w:rFonts w:hint="eastAsia" w:ascii="宋体" w:hAnsi="宋体"/>
                <w:sz w:val="21"/>
                <w:szCs w:val="21"/>
                <w:lang w:val="en-US" w:eastAsia="zh-CN"/>
              </w:rPr>
              <w:t>值（</w:t>
            </w:r>
            <w:r>
              <w:rPr>
                <w:rFonts w:ascii="宋体" w:hAnsi="宋体"/>
                <w:sz w:val="21"/>
                <w:szCs w:val="21"/>
                <w:lang w:val="en-US" w:eastAsia="zh-CN"/>
              </w:rPr>
              <w:t>Z=20</w:t>
            </w:r>
            <w:r>
              <w:rPr>
                <w:rFonts w:hint="eastAsia" w:ascii="宋体" w:hAnsi="宋体"/>
                <w:sz w:val="21"/>
                <w:szCs w:val="21"/>
                <w:lang w:val="en-US" w:eastAsia="zh-CN"/>
              </w:rPr>
              <w:t>，等效温度</w:t>
            </w:r>
            <w:r>
              <w:rPr>
                <w:rFonts w:ascii="宋体" w:hAnsi="宋体"/>
                <w:sz w:val="21"/>
                <w:szCs w:val="21"/>
                <w:lang w:val="en-US" w:eastAsia="zh-CN"/>
              </w:rPr>
              <w:t>170</w:t>
            </w:r>
            <w:r>
              <w:rPr>
                <w:rFonts w:hint="eastAsia" w:ascii="宋体" w:hAnsi="宋体"/>
                <w:sz w:val="21"/>
                <w:szCs w:val="21"/>
                <w:lang w:val="en-US" w:eastAsia="zh-CN"/>
              </w:rPr>
              <w:t>℃）不少于</w:t>
            </w:r>
            <w:r>
              <w:rPr>
                <w:rFonts w:ascii="宋体" w:hAnsi="宋体"/>
                <w:sz w:val="21"/>
                <w:szCs w:val="21"/>
                <w:lang w:val="en-US" w:eastAsia="zh-CN"/>
              </w:rPr>
              <w:t>120</w:t>
            </w:r>
            <w:r>
              <w:rPr>
                <w:rFonts w:hint="eastAsia" w:ascii="宋体" w:hAnsi="宋体"/>
                <w:sz w:val="21"/>
                <w:szCs w:val="21"/>
                <w:lang w:val="en-US" w:eastAsia="zh-CN"/>
              </w:rPr>
              <w:t>；除热源</w:t>
            </w:r>
            <w:r>
              <w:rPr>
                <w:rFonts w:ascii="宋体" w:hAnsi="宋体"/>
                <w:sz w:val="21"/>
                <w:szCs w:val="21"/>
                <w:lang w:val="en-US" w:eastAsia="zh-CN"/>
              </w:rPr>
              <w:t>250</w:t>
            </w:r>
            <w:r>
              <w:rPr>
                <w:rFonts w:hint="eastAsia" w:ascii="宋体" w:hAnsi="宋体"/>
                <w:sz w:val="21"/>
                <w:szCs w:val="21"/>
                <w:lang w:val="en-US" w:eastAsia="zh-CN"/>
              </w:rPr>
              <w:t>℃满载时，灭菌段内室物品温度为</w:t>
            </w:r>
            <w:r>
              <w:rPr>
                <w:rFonts w:ascii="宋体" w:hAnsi="宋体"/>
                <w:sz w:val="21"/>
                <w:szCs w:val="21"/>
                <w:lang w:val="en-US" w:eastAsia="zh-CN"/>
              </w:rPr>
              <w:t>250</w:t>
            </w:r>
            <w:r>
              <w:rPr>
                <w:rFonts w:hint="eastAsia" w:ascii="宋体" w:hAnsi="宋体"/>
                <w:sz w:val="21"/>
                <w:szCs w:val="21"/>
                <w:lang w:val="en-US" w:eastAsia="zh-CN"/>
              </w:rPr>
              <w:t>℃±</w:t>
            </w:r>
            <w:r>
              <w:rPr>
                <w:rFonts w:ascii="宋体" w:hAnsi="宋体"/>
                <w:sz w:val="21"/>
                <w:szCs w:val="21"/>
                <w:lang w:val="en-US" w:eastAsia="zh-CN"/>
              </w:rPr>
              <w:t>10</w:t>
            </w:r>
            <w:r>
              <w:rPr>
                <w:rFonts w:hint="eastAsia" w:ascii="宋体" w:hAnsi="宋体"/>
                <w:sz w:val="21"/>
                <w:szCs w:val="21"/>
                <w:lang w:val="en-US" w:eastAsia="zh-CN"/>
              </w:rPr>
              <w:t>℃，升温时间控制在1.5小时以内，</w:t>
            </w:r>
            <w:r>
              <w:rPr>
                <w:rFonts w:ascii="宋体" w:hAnsi="宋体"/>
                <w:sz w:val="21"/>
                <w:szCs w:val="21"/>
                <w:lang w:val="en-US" w:eastAsia="zh-CN"/>
              </w:rPr>
              <w:t>FH</w:t>
            </w:r>
            <w:r>
              <w:rPr>
                <w:rFonts w:hint="eastAsia" w:ascii="宋体" w:hAnsi="宋体"/>
                <w:sz w:val="21"/>
                <w:szCs w:val="21"/>
                <w:lang w:val="en-US" w:eastAsia="zh-CN"/>
              </w:rPr>
              <w:t>值（</w:t>
            </w:r>
            <w:r>
              <w:rPr>
                <w:rFonts w:ascii="宋体" w:hAnsi="宋体"/>
                <w:sz w:val="21"/>
                <w:szCs w:val="21"/>
                <w:lang w:val="en-US" w:eastAsia="zh-CN"/>
              </w:rPr>
              <w:t>Z=</w:t>
            </w:r>
            <w:r>
              <w:rPr>
                <w:rFonts w:hint="eastAsia" w:ascii="宋体" w:hAnsi="宋体"/>
                <w:sz w:val="21"/>
                <w:szCs w:val="21"/>
                <w:lang w:val="en-US" w:eastAsia="zh-CN"/>
              </w:rPr>
              <w:t>54，等效温度</w:t>
            </w:r>
            <w:r>
              <w:rPr>
                <w:rFonts w:ascii="宋体" w:hAnsi="宋体"/>
                <w:sz w:val="21"/>
                <w:szCs w:val="21"/>
                <w:lang w:val="en-US" w:eastAsia="zh-CN"/>
              </w:rPr>
              <w:t>170</w:t>
            </w:r>
            <w:r>
              <w:rPr>
                <w:rFonts w:hint="eastAsia" w:ascii="宋体" w:hAnsi="宋体"/>
                <w:sz w:val="21"/>
                <w:szCs w:val="21"/>
                <w:lang w:val="en-US" w:eastAsia="zh-CN"/>
              </w:rPr>
              <w:t>℃）不少于</w:t>
            </w:r>
            <w:r>
              <w:rPr>
                <w:rFonts w:ascii="宋体" w:hAnsi="宋体"/>
                <w:sz w:val="21"/>
                <w:szCs w:val="21"/>
                <w:lang w:val="en-US" w:eastAsia="zh-CN"/>
              </w:rPr>
              <w:t>1365</w:t>
            </w:r>
            <w:r>
              <w:rPr>
                <w:rFonts w:hint="eastAsia" w:ascii="宋体" w:hAnsi="宋体"/>
                <w:sz w:val="21"/>
                <w:szCs w:val="21"/>
                <w:lang w:val="en-US" w:eastAsia="zh-CN"/>
              </w:rPr>
              <w:t>；</w:t>
            </w:r>
          </w:p>
          <w:p>
            <w:pPr>
              <w:jc w:val="both"/>
              <w:rPr>
                <w:i/>
                <w:szCs w:val="21"/>
                <w:lang w:eastAsia="zh-CN"/>
              </w:rPr>
            </w:pPr>
            <w:r>
              <w:rPr>
                <w:rFonts w:ascii="宋体" w:hAnsi="宋体"/>
                <w:szCs w:val="21"/>
                <w:lang w:val="en-US" w:eastAsia="zh-CN"/>
              </w:rPr>
              <w:t>3.</w:t>
            </w:r>
            <w:r>
              <w:rPr>
                <w:rFonts w:hint="eastAsia" w:ascii="宋体" w:hAnsi="宋体"/>
                <w:szCs w:val="21"/>
                <w:lang w:val="en-US" w:eastAsia="zh-CN"/>
              </w:rPr>
              <w:t>满载时柜内灭菌物品如下：物品清单：1个菌种物品箱（内装接种杆、小砂轮、止血钳）、12个10000ml大立瓶、不锈钢盒1个（内装吸管、量筒、烧杯）、不锈钢盒1个（内装大试管、中试</w:t>
            </w:r>
            <w:r>
              <w:rPr>
                <w:rFonts w:hint="eastAsia" w:ascii="宋体" w:hAnsi="宋体"/>
                <w:szCs w:val="21"/>
                <w:lang w:eastAsia="zh-CN"/>
              </w:rPr>
              <w:t>管、取样管）、放置后确定箱子左右两边的通气口均呈完全打开状态。</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24" w:edGrp="everyone"/>
          </w:p>
        </w:tc>
        <w:tc>
          <w:tcPr>
            <w:tcW w:w="7128" w:type="dxa"/>
            <w:shd w:val="clear" w:color="auto" w:fill="auto"/>
            <w:vAlign w:val="center"/>
          </w:tcPr>
          <w:p>
            <w:pPr>
              <w:pStyle w:val="7"/>
              <w:spacing w:line="360" w:lineRule="auto"/>
              <w:rPr>
                <w:rFonts w:ascii="宋体"/>
                <w:sz w:val="21"/>
                <w:szCs w:val="21"/>
                <w:lang w:val="en-US" w:eastAsia="zh-CN"/>
              </w:rPr>
            </w:pPr>
            <w:r>
              <w:rPr>
                <w:rFonts w:hint="eastAsia" w:ascii="宋体" w:hAnsi="宋体"/>
                <w:color w:val="000000"/>
                <w:sz w:val="21"/>
                <w:szCs w:val="21"/>
                <w:lang w:val="en-US" w:eastAsia="zh-CN"/>
              </w:rPr>
              <w:t>进入腔室内部的空气必须经过有效净化，内部</w:t>
            </w:r>
            <w:r>
              <w:rPr>
                <w:rFonts w:hint="eastAsia" w:ascii="宋体" w:hAnsi="宋体"/>
                <w:sz w:val="21"/>
                <w:szCs w:val="21"/>
                <w:lang w:val="en-US" w:eastAsia="zh-CN"/>
              </w:rPr>
              <w:t>有效空间洁净度需要达到静态</w:t>
            </w:r>
            <w:r>
              <w:rPr>
                <w:rFonts w:ascii="宋体" w:hAnsi="宋体"/>
                <w:sz w:val="21"/>
                <w:szCs w:val="21"/>
                <w:lang w:val="en-US" w:eastAsia="zh-CN"/>
              </w:rPr>
              <w:t>A</w:t>
            </w:r>
            <w:r>
              <w:rPr>
                <w:rFonts w:hint="eastAsia" w:ascii="宋体" w:hAnsi="宋体"/>
                <w:sz w:val="21"/>
                <w:szCs w:val="21"/>
                <w:lang w:val="en-US" w:eastAsia="zh-CN"/>
              </w:rPr>
              <w:t>级的要求：</w:t>
            </w:r>
          </w:p>
          <w:tbl>
            <w:tblPr>
              <w:tblStyle w:val="19"/>
              <w:tblW w:w="5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1031"/>
              <w:gridCol w:w="946"/>
              <w:gridCol w:w="1383"/>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vMerge w:val="restart"/>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b/>
                      <w:sz w:val="21"/>
                      <w:szCs w:val="21"/>
                      <w:lang w:val="en-US" w:eastAsia="zh-CN"/>
                    </w:rPr>
                  </w:pPr>
                  <w:r>
                    <w:rPr>
                      <w:rFonts w:hint="eastAsia" w:ascii="宋体" w:hAnsi="宋体"/>
                      <w:b/>
                      <w:sz w:val="21"/>
                      <w:szCs w:val="21"/>
                      <w:lang w:val="en-US" w:eastAsia="zh-CN"/>
                    </w:rPr>
                    <w:t>洁净度级别</w:t>
                  </w:r>
                </w:p>
              </w:tc>
              <w:tc>
                <w:tcPr>
                  <w:tcW w:w="19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b/>
                      <w:szCs w:val="21"/>
                      <w:lang w:eastAsia="zh-CN"/>
                    </w:rPr>
                  </w:pPr>
                  <w:r>
                    <w:rPr>
                      <w:rFonts w:hint="eastAsia" w:ascii="宋体" w:hAnsi="宋体"/>
                      <w:b/>
                      <w:szCs w:val="21"/>
                      <w:lang w:eastAsia="zh-CN"/>
                    </w:rPr>
                    <w:t>悬浮粒子最大允许数（个</w:t>
                  </w:r>
                  <w:r>
                    <w:rPr>
                      <w:rFonts w:ascii="宋体" w:hAnsi="宋体"/>
                      <w:b/>
                      <w:szCs w:val="21"/>
                      <w:lang w:eastAsia="zh-CN"/>
                    </w:rPr>
                    <w:t>/ m</w:t>
                  </w:r>
                  <w:r>
                    <w:rPr>
                      <w:rFonts w:hint="eastAsia" w:ascii="宋体" w:hAnsi="宋体"/>
                      <w:b/>
                      <w:szCs w:val="21"/>
                      <w:lang w:eastAsia="zh-CN"/>
                    </w:rPr>
                    <w:t>³）</w:t>
                  </w:r>
                </w:p>
              </w:tc>
              <w:tc>
                <w:tcPr>
                  <w:tcW w:w="1383" w:type="dxa"/>
                  <w:vMerge w:val="restart"/>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b/>
                      <w:sz w:val="21"/>
                      <w:szCs w:val="21"/>
                      <w:lang w:eastAsia="zh-CN"/>
                    </w:rPr>
                  </w:pPr>
                  <w:r>
                    <w:rPr>
                      <w:rFonts w:hint="eastAsia" w:ascii="宋体" w:hAnsi="宋体"/>
                      <w:b/>
                      <w:sz w:val="21"/>
                      <w:szCs w:val="21"/>
                      <w:lang w:eastAsia="zh-CN"/>
                    </w:rPr>
                    <w:t>沉降菌最大允许数</w:t>
                  </w:r>
                </w:p>
                <w:p>
                  <w:pPr>
                    <w:pStyle w:val="7"/>
                    <w:spacing w:line="360" w:lineRule="auto"/>
                    <w:jc w:val="center"/>
                    <w:rPr>
                      <w:rFonts w:ascii="宋体"/>
                      <w:b/>
                      <w:sz w:val="21"/>
                      <w:szCs w:val="21"/>
                      <w:lang w:eastAsia="zh-CN"/>
                    </w:rPr>
                  </w:pPr>
                  <w:r>
                    <w:rPr>
                      <w:rFonts w:ascii="宋体" w:hAnsi="宋体"/>
                      <w:b/>
                      <w:sz w:val="21"/>
                      <w:szCs w:val="21"/>
                      <w:lang w:eastAsia="zh-CN"/>
                    </w:rPr>
                    <w:t>cfu/4</w:t>
                  </w:r>
                  <w:r>
                    <w:rPr>
                      <w:rFonts w:hint="eastAsia" w:ascii="宋体" w:hAnsi="宋体"/>
                      <w:b/>
                      <w:sz w:val="21"/>
                      <w:szCs w:val="21"/>
                      <w:lang w:eastAsia="zh-CN"/>
                    </w:rPr>
                    <w:t>小时</w:t>
                  </w:r>
                </w:p>
              </w:tc>
              <w:tc>
                <w:tcPr>
                  <w:tcW w:w="1500" w:type="dxa"/>
                  <w:vMerge w:val="restart"/>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b/>
                      <w:sz w:val="21"/>
                      <w:szCs w:val="21"/>
                      <w:lang w:eastAsia="zh-CN"/>
                    </w:rPr>
                  </w:pPr>
                  <w:r>
                    <w:rPr>
                      <w:rFonts w:hint="eastAsia" w:ascii="宋体" w:hAnsi="宋体"/>
                      <w:b/>
                      <w:sz w:val="21"/>
                      <w:szCs w:val="21"/>
                      <w:lang w:eastAsia="zh-CN"/>
                    </w:rPr>
                    <w:t>浮游菌最大允许数</w:t>
                  </w:r>
                </w:p>
                <w:p>
                  <w:pPr>
                    <w:pStyle w:val="7"/>
                    <w:spacing w:line="360" w:lineRule="auto"/>
                    <w:jc w:val="center"/>
                    <w:rPr>
                      <w:rFonts w:ascii="宋体"/>
                      <w:b/>
                      <w:sz w:val="21"/>
                      <w:szCs w:val="21"/>
                      <w:lang w:eastAsia="zh-CN"/>
                    </w:rPr>
                  </w:pPr>
                  <w:r>
                    <w:rPr>
                      <w:rFonts w:ascii="宋体" w:hAnsi="宋体"/>
                      <w:b/>
                      <w:sz w:val="21"/>
                      <w:szCs w:val="21"/>
                      <w:lang w:eastAsia="zh-CN"/>
                    </w:rPr>
                    <w:t>cfu/m</w:t>
                  </w:r>
                  <w:r>
                    <w:rPr>
                      <w:rFonts w:hint="eastAsia" w:ascii="宋体" w:hAnsi="宋体"/>
                      <w:b/>
                      <w:sz w:val="21"/>
                      <w:szCs w:val="21"/>
                      <w:lang w:eastAsia="zh-CN"/>
                    </w:rPr>
                    <w:t>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sz w:val="21"/>
                      <w:szCs w:val="21"/>
                      <w:lang w:val="en-US" w:eastAsia="zh-CN"/>
                    </w:rPr>
                  </w:pPr>
                </w:p>
              </w:tc>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w:t>
                  </w:r>
                  <w:r>
                    <w:rPr>
                      <w:rFonts w:ascii="宋体" w:hAnsi="宋体"/>
                      <w:szCs w:val="21"/>
                    </w:rPr>
                    <w:t>0.5</w:t>
                  </w:r>
                  <w:r>
                    <w:rPr>
                      <w:rFonts w:hint="eastAsia" w:ascii="宋体" w:hAnsi="宋体"/>
                      <w:szCs w:val="21"/>
                    </w:rPr>
                    <w:t>μ</w:t>
                  </w:r>
                  <w:r>
                    <w:rPr>
                      <w:rFonts w:ascii="宋体" w:hAnsi="宋体"/>
                      <w:szCs w:val="21"/>
                    </w:rPr>
                    <w:t>m</w:t>
                  </w:r>
                </w:p>
              </w:tc>
              <w:tc>
                <w:tcPr>
                  <w:tcW w:w="946"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w:t>
                  </w:r>
                  <w:r>
                    <w:rPr>
                      <w:rFonts w:ascii="宋体" w:hAnsi="宋体"/>
                      <w:szCs w:val="21"/>
                    </w:rPr>
                    <w:t>5.0</w:t>
                  </w:r>
                  <w:r>
                    <w:rPr>
                      <w:rFonts w:hint="eastAsia" w:ascii="宋体" w:hAnsi="宋体"/>
                      <w:szCs w:val="21"/>
                    </w:rPr>
                    <w:t>μ</w:t>
                  </w:r>
                  <w:r>
                    <w:rPr>
                      <w:rFonts w:ascii="宋体" w:hAnsi="宋体"/>
                      <w:szCs w:val="21"/>
                    </w:rPr>
                    <w:t>m</w:t>
                  </w:r>
                </w:p>
              </w:tc>
              <w:tc>
                <w:tcPr>
                  <w:tcW w:w="1383" w:type="dxa"/>
                  <w:vMerge w:val="continue"/>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sz w:val="21"/>
                      <w:szCs w:val="21"/>
                      <w:lang w:eastAsia="zh-CN"/>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sz w:val="21"/>
                      <w:szCs w:val="21"/>
                      <w:lang w:val="en-US" w:eastAsia="zh-CN"/>
                    </w:rPr>
                  </w:pPr>
                  <w:r>
                    <w:rPr>
                      <w:rFonts w:ascii="宋体" w:hAnsi="宋体"/>
                      <w:sz w:val="21"/>
                      <w:szCs w:val="21"/>
                      <w:lang w:val="en-US" w:eastAsia="zh-CN"/>
                    </w:rPr>
                    <w:t>A</w:t>
                  </w:r>
                </w:p>
              </w:tc>
              <w:tc>
                <w:tcPr>
                  <w:tcW w:w="1031"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ascii="宋体" w:hAnsi="宋体"/>
                      <w:szCs w:val="21"/>
                    </w:rPr>
                    <w:t>3520</w:t>
                  </w:r>
                </w:p>
              </w:tc>
              <w:tc>
                <w:tcPr>
                  <w:tcW w:w="946"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ascii="宋体" w:hAnsi="宋体"/>
                      <w:szCs w:val="21"/>
                    </w:rPr>
                    <w:t>20</w:t>
                  </w:r>
                </w:p>
              </w:tc>
              <w:tc>
                <w:tcPr>
                  <w:tcW w:w="1383"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w:t>
                  </w:r>
                  <w:r>
                    <w:rPr>
                      <w:rFonts w:ascii="宋体" w:hAnsi="宋体"/>
                      <w:szCs w:val="21"/>
                    </w:rPr>
                    <w:t>1CFU</w:t>
                  </w:r>
                  <w:r>
                    <w:rPr>
                      <w:rFonts w:hint="eastAsia" w:ascii="宋体" w:hAnsi="宋体"/>
                      <w:szCs w:val="21"/>
                    </w:rPr>
                    <w:t>∕</w:t>
                  </w:r>
                  <w:r>
                    <w:rPr>
                      <w:rFonts w:ascii="宋体" w:hAnsi="宋体"/>
                      <w:szCs w:val="21"/>
                    </w:rPr>
                    <w:t>4 hours</w:t>
                  </w: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w:t>
                  </w:r>
                  <w:r>
                    <w:rPr>
                      <w:rFonts w:ascii="宋体" w:hAnsi="宋体"/>
                      <w:szCs w:val="21"/>
                    </w:rPr>
                    <w:t>1CFU</w:t>
                  </w:r>
                  <w:r>
                    <w:rPr>
                      <w:rFonts w:hint="eastAsia" w:ascii="宋体" w:hAnsi="宋体"/>
                      <w:szCs w:val="21"/>
                    </w:rPr>
                    <w:t>∕</w:t>
                  </w:r>
                  <w:r>
                    <w:rPr>
                      <w:rFonts w:ascii="宋体" w:hAnsi="宋体"/>
                      <w:szCs w:val="21"/>
                    </w:rPr>
                    <w:t>m3</w:t>
                  </w:r>
                </w:p>
              </w:tc>
            </w:tr>
          </w:tbl>
          <w:p>
            <w:pPr>
              <w:spacing w:line="276" w:lineRule="auto"/>
              <w:jc w:val="both"/>
              <w:rPr>
                <w:szCs w:val="21"/>
                <w:lang w:val="en-US" w:eastAsia="zh-CN"/>
              </w:rPr>
            </w:pP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line="360" w:lineRule="auto"/>
              <w:rPr>
                <w:rFonts w:ascii="宋体" w:hAnsi="宋体"/>
                <w:color w:val="000000"/>
                <w:sz w:val="21"/>
                <w:szCs w:val="21"/>
                <w:lang w:val="en-US" w:eastAsia="zh-CN"/>
              </w:rPr>
            </w:pPr>
            <w:r>
              <w:rPr>
                <w:rFonts w:hint="eastAsia" w:ascii="宋体" w:hAnsi="宋体"/>
                <w:sz w:val="21"/>
                <w:szCs w:val="21"/>
                <w:lang w:eastAsia="zh-CN"/>
              </w:rPr>
              <w:t>灭菌时满载最冷点的枯草芽孢杆菌生物指示剂挑战测试合格，能够下降至少</w:t>
            </w:r>
            <w:r>
              <w:rPr>
                <w:rFonts w:ascii="宋体" w:hAnsi="宋体"/>
                <w:sz w:val="21"/>
                <w:szCs w:val="21"/>
                <w:lang w:eastAsia="zh-CN"/>
              </w:rPr>
              <w:t>6</w:t>
            </w:r>
            <w:r>
              <w:rPr>
                <w:rFonts w:hint="eastAsia" w:ascii="宋体" w:hAnsi="宋体"/>
                <w:sz w:val="21"/>
                <w:szCs w:val="21"/>
                <w:lang w:eastAsia="zh-CN"/>
              </w:rPr>
              <w:t>对数值；去热源时满载应能够保证冷点能够满足内毒素下降</w:t>
            </w:r>
            <w:r>
              <w:rPr>
                <w:rFonts w:ascii="宋体" w:hAnsi="宋体"/>
                <w:sz w:val="21"/>
                <w:szCs w:val="21"/>
                <w:lang w:eastAsia="zh-CN"/>
              </w:rPr>
              <w:t>3</w:t>
            </w:r>
            <w:r>
              <w:rPr>
                <w:rFonts w:hint="eastAsia" w:ascii="宋体" w:hAnsi="宋体"/>
                <w:sz w:val="21"/>
                <w:szCs w:val="21"/>
                <w:lang w:eastAsia="zh-CN"/>
              </w:rPr>
              <w:t>个对数的要求。</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line="360" w:lineRule="auto"/>
              <w:rPr>
                <w:rFonts w:ascii="宋体" w:hAnsi="宋体"/>
                <w:color w:val="000000"/>
                <w:sz w:val="21"/>
                <w:szCs w:val="21"/>
                <w:lang w:val="en-US" w:eastAsia="zh-CN"/>
              </w:rPr>
            </w:pPr>
            <w:r>
              <w:rPr>
                <w:rFonts w:hint="eastAsia" w:ascii="宋体" w:hAnsi="宋体"/>
                <w:sz w:val="21"/>
                <w:szCs w:val="21"/>
                <w:lang w:val="en-US" w:eastAsia="zh-CN"/>
              </w:rPr>
              <w:t>整个灭菌过程可自动控制内腔压力，使内腔压力比干燥箱外大至少</w:t>
            </w:r>
            <w:r>
              <w:rPr>
                <w:rFonts w:ascii="宋体" w:hAnsi="宋体"/>
                <w:sz w:val="21"/>
                <w:szCs w:val="21"/>
                <w:lang w:eastAsia="zh-CN"/>
              </w:rPr>
              <w:t>10Pa</w:t>
            </w:r>
            <w:r>
              <w:rPr>
                <w:rFonts w:hint="eastAsia" w:ascii="宋体" w:hAnsi="宋体"/>
                <w:sz w:val="21"/>
                <w:szCs w:val="21"/>
                <w:lang w:eastAsia="zh-CN"/>
              </w:rPr>
              <w:t>。</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8"/>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其他运行要求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25" w:edGrp="everyone"/>
          </w:p>
        </w:tc>
        <w:tc>
          <w:tcPr>
            <w:tcW w:w="7128" w:type="dxa"/>
            <w:shd w:val="clear" w:color="auto" w:fill="auto"/>
            <w:vAlign w:val="center"/>
          </w:tcPr>
          <w:p>
            <w:pPr>
              <w:pStyle w:val="7"/>
              <w:spacing w:line="360" w:lineRule="auto"/>
              <w:rPr>
                <w:rFonts w:ascii="宋体"/>
                <w:sz w:val="21"/>
                <w:szCs w:val="21"/>
                <w:lang w:eastAsia="zh-CN"/>
              </w:rPr>
            </w:pPr>
            <w:r>
              <w:rPr>
                <w:rFonts w:hint="eastAsia" w:ascii="宋体" w:hAnsi="宋体"/>
                <w:sz w:val="21"/>
                <w:szCs w:val="21"/>
                <w:lang w:eastAsia="zh-CN"/>
              </w:rPr>
              <w:t>腔室外表面以及管道必须包裹隔热材料，在最高温度 250℃灭菌过程中，灭菌器箱体外壁温度应低于＋40℃，防止热量的散发造成设备性能下降或人员烫伤。</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line="360" w:lineRule="auto"/>
              <w:rPr>
                <w:rFonts w:hint="default" w:ascii="宋体" w:hAnsi="宋体"/>
                <w:sz w:val="21"/>
                <w:szCs w:val="21"/>
                <w:lang w:val="en-US" w:eastAsia="zh-CN"/>
              </w:rPr>
            </w:pPr>
            <w:r>
              <w:rPr>
                <w:rFonts w:hint="eastAsia" w:ascii="宋体" w:hAnsi="宋体"/>
                <w:sz w:val="21"/>
                <w:szCs w:val="21"/>
                <w:lang w:eastAsia="zh-CN"/>
              </w:rPr>
              <w:t>设备应具有高效</w:t>
            </w:r>
            <w:r>
              <w:rPr>
                <w:rFonts w:ascii="宋体" w:hAnsi="宋体"/>
                <w:sz w:val="21"/>
                <w:szCs w:val="21"/>
                <w:lang w:eastAsia="zh-CN"/>
              </w:rPr>
              <w:t>PAO</w:t>
            </w:r>
            <w:r>
              <w:rPr>
                <w:rFonts w:hint="eastAsia" w:ascii="宋体" w:hAnsi="宋体"/>
                <w:sz w:val="21"/>
                <w:szCs w:val="21"/>
                <w:lang w:eastAsia="zh-CN"/>
              </w:rPr>
              <w:t>检漏口以及温度验证孔，其中</w:t>
            </w:r>
            <w:r>
              <w:rPr>
                <w:rFonts w:hint="eastAsia" w:ascii="宋体" w:hAnsi="宋体"/>
                <w:sz w:val="21"/>
                <w:szCs w:val="21"/>
                <w:lang w:val="en-US" w:eastAsia="zh-CN"/>
              </w:rPr>
              <w:t>PAO检漏口包含进风高效、循环风高效以及排风高效。</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line="360" w:lineRule="auto"/>
              <w:rPr>
                <w:rFonts w:ascii="宋体" w:hAnsi="宋体"/>
                <w:sz w:val="21"/>
                <w:szCs w:val="21"/>
                <w:lang w:eastAsia="zh-CN"/>
              </w:rPr>
            </w:pPr>
            <w:r>
              <w:rPr>
                <w:rFonts w:hint="eastAsia" w:ascii="宋体" w:hAnsi="宋体"/>
                <w:sz w:val="21"/>
                <w:szCs w:val="21"/>
                <w:lang w:eastAsia="zh-CN"/>
              </w:rPr>
              <w:t>所有高效的安装位置合理，容易维护和更换。</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line="360" w:lineRule="auto"/>
              <w:rPr>
                <w:rFonts w:ascii="宋体" w:hAnsi="宋体"/>
                <w:sz w:val="21"/>
                <w:szCs w:val="21"/>
                <w:lang w:eastAsia="zh-CN"/>
              </w:rPr>
            </w:pPr>
            <w:r>
              <w:rPr>
                <w:rFonts w:hint="eastAsia" w:ascii="宋体" w:hAnsi="宋体"/>
                <w:sz w:val="21"/>
                <w:szCs w:val="21"/>
                <w:lang w:eastAsia="zh-CN"/>
              </w:rPr>
              <w:t>需要保证边框密封严密无泄漏；应有措施防止因高效密封条老化等原因而导致微粒进入腔室内的情况。</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line="360" w:lineRule="auto"/>
              <w:rPr>
                <w:rFonts w:ascii="宋体" w:hAnsi="宋体"/>
                <w:sz w:val="21"/>
                <w:szCs w:val="21"/>
                <w:lang w:eastAsia="zh-CN"/>
              </w:rPr>
            </w:pPr>
            <w:r>
              <w:rPr>
                <w:rFonts w:hint="eastAsia" w:ascii="宋体" w:hAnsi="宋体"/>
                <w:sz w:val="21"/>
                <w:szCs w:val="21"/>
                <w:lang w:eastAsia="zh-CN"/>
              </w:rPr>
              <w:t>柜体使用双扉门，采用电机自动控制开关，关门后不漏气，密封严密。</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after="0" w:line="360" w:lineRule="auto"/>
              <w:rPr>
                <w:rFonts w:ascii="宋体"/>
                <w:sz w:val="21"/>
                <w:szCs w:val="21"/>
                <w:lang w:val="en-US" w:eastAsia="zh-CN"/>
              </w:rPr>
            </w:pPr>
            <w:r>
              <w:rPr>
                <w:rFonts w:hint="eastAsia" w:ascii="宋体" w:hAnsi="宋体"/>
                <w:sz w:val="21"/>
                <w:szCs w:val="21"/>
                <w:lang w:val="en-US" w:eastAsia="zh-CN"/>
              </w:rPr>
              <w:t>报警要求：</w:t>
            </w:r>
          </w:p>
          <w:p>
            <w:pPr>
              <w:pStyle w:val="7"/>
              <w:numPr>
                <w:ilvl w:val="0"/>
                <w:numId w:val="9"/>
              </w:numPr>
              <w:spacing w:after="0" w:line="360" w:lineRule="auto"/>
              <w:rPr>
                <w:rFonts w:ascii="宋体"/>
                <w:sz w:val="21"/>
                <w:szCs w:val="21"/>
                <w:lang w:val="en-US" w:eastAsia="zh-CN"/>
              </w:rPr>
            </w:pPr>
            <w:r>
              <w:rPr>
                <w:rFonts w:hint="eastAsia" w:ascii="宋体" w:hAnsi="宋体"/>
                <w:sz w:val="21"/>
                <w:szCs w:val="21"/>
                <w:lang w:val="en-US" w:eastAsia="zh-CN"/>
              </w:rPr>
              <w:t>应根据设定的检测和限制条件及时给出相应的提示、警告。</w:t>
            </w:r>
          </w:p>
          <w:p>
            <w:pPr>
              <w:pStyle w:val="7"/>
              <w:numPr>
                <w:ilvl w:val="0"/>
                <w:numId w:val="9"/>
              </w:numPr>
              <w:spacing w:after="0" w:line="360" w:lineRule="auto"/>
              <w:rPr>
                <w:rFonts w:ascii="宋体"/>
                <w:sz w:val="21"/>
                <w:szCs w:val="21"/>
                <w:lang w:val="en-US" w:eastAsia="zh-CN"/>
              </w:rPr>
            </w:pPr>
            <w:r>
              <w:rPr>
                <w:rFonts w:hint="eastAsia" w:ascii="宋体" w:hAnsi="宋体"/>
                <w:sz w:val="21"/>
                <w:szCs w:val="21"/>
                <w:lang w:val="en-US" w:eastAsia="zh-CN"/>
              </w:rPr>
              <w:t>当设备发生出错状况或出现危急时，报警同时必须自动控制停机，报警信息被全部确认后才能开机，以防止影响产品质量和损坏机器的情况发生。</w:t>
            </w:r>
          </w:p>
          <w:p>
            <w:pPr>
              <w:pStyle w:val="7"/>
              <w:numPr>
                <w:ilvl w:val="0"/>
                <w:numId w:val="9"/>
              </w:numPr>
              <w:spacing w:after="0" w:line="360" w:lineRule="auto"/>
              <w:rPr>
                <w:rFonts w:ascii="宋体"/>
                <w:sz w:val="21"/>
                <w:szCs w:val="21"/>
                <w:lang w:val="en-US" w:eastAsia="zh-CN"/>
              </w:rPr>
            </w:pPr>
            <w:r>
              <w:rPr>
                <w:rFonts w:hint="eastAsia" w:ascii="宋体" w:hAnsi="宋体"/>
                <w:sz w:val="21"/>
                <w:szCs w:val="21"/>
                <w:lang w:val="en-US" w:eastAsia="zh-CN"/>
              </w:rPr>
              <w:t>配有声光报警器。</w:t>
            </w:r>
          </w:p>
          <w:p>
            <w:pPr>
              <w:pStyle w:val="7"/>
              <w:numPr>
                <w:ilvl w:val="0"/>
                <w:numId w:val="9"/>
              </w:numPr>
              <w:spacing w:after="0" w:line="360" w:lineRule="auto"/>
              <w:rPr>
                <w:rFonts w:ascii="宋体"/>
                <w:sz w:val="21"/>
                <w:szCs w:val="21"/>
                <w:lang w:val="en-US" w:eastAsia="zh-CN"/>
              </w:rPr>
            </w:pPr>
            <w:r>
              <w:rPr>
                <w:rFonts w:hint="eastAsia" w:ascii="宋体" w:hAnsi="宋体"/>
                <w:sz w:val="21"/>
                <w:szCs w:val="21"/>
                <w:lang w:val="en-US" w:eastAsia="zh-CN"/>
              </w:rPr>
              <w:t>可提示灭菌过程中温度突然降低、温度超标、压力超标、门互锁报警、软件系统异常等各种异常情况，报警信息能够准确显示故障原因，并可生成不可修改的报警记录，报警记录能够存储，并可以导出后进行打印、备份、查询、恢复等。</w:t>
            </w:r>
          </w:p>
          <w:p>
            <w:pPr>
              <w:pStyle w:val="7"/>
              <w:numPr>
                <w:ilvl w:val="0"/>
                <w:numId w:val="9"/>
              </w:numPr>
              <w:spacing w:after="0" w:line="360" w:lineRule="auto"/>
              <w:rPr>
                <w:rFonts w:ascii="宋体"/>
                <w:sz w:val="21"/>
                <w:szCs w:val="21"/>
                <w:lang w:val="en-US" w:eastAsia="zh-CN"/>
              </w:rPr>
            </w:pPr>
            <w:r>
              <w:rPr>
                <w:rFonts w:hint="eastAsia" w:ascii="宋体" w:hAnsi="宋体"/>
                <w:sz w:val="21"/>
                <w:szCs w:val="21"/>
                <w:lang w:val="en-US" w:eastAsia="zh-CN"/>
              </w:rPr>
              <w:t>灭菌过程中的信息自动打印中，可随时调用历史报警记录，不可修改。</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after="0" w:line="360" w:lineRule="auto"/>
              <w:rPr>
                <w:rFonts w:ascii="宋体"/>
                <w:sz w:val="21"/>
                <w:szCs w:val="21"/>
                <w:lang w:val="en-US" w:eastAsia="zh-CN"/>
              </w:rPr>
            </w:pPr>
            <w:r>
              <w:rPr>
                <w:rFonts w:hint="eastAsia" w:ascii="宋体" w:hAnsi="宋体"/>
                <w:sz w:val="21"/>
                <w:szCs w:val="21"/>
                <w:lang w:val="en-US" w:eastAsia="zh-CN"/>
              </w:rPr>
              <w:t>断电保护要求：</w:t>
            </w:r>
          </w:p>
          <w:p>
            <w:pPr>
              <w:pStyle w:val="7"/>
              <w:numPr>
                <w:ilvl w:val="0"/>
                <w:numId w:val="10"/>
              </w:numPr>
              <w:spacing w:after="0" w:line="360" w:lineRule="auto"/>
              <w:rPr>
                <w:rFonts w:ascii="宋体"/>
                <w:sz w:val="21"/>
                <w:szCs w:val="21"/>
                <w:lang w:val="en-US" w:eastAsia="zh-CN"/>
              </w:rPr>
            </w:pPr>
            <w:r>
              <w:rPr>
                <w:rFonts w:hint="eastAsia" w:ascii="宋体" w:hAnsi="宋体"/>
                <w:sz w:val="21"/>
                <w:szCs w:val="21"/>
                <w:lang w:val="en-US" w:eastAsia="zh-CN"/>
              </w:rPr>
              <w:t>在设备正常使用时，突然断电后机器的设置、数据记录不会丢失，软硬件不会损坏。</w:t>
            </w:r>
          </w:p>
          <w:p>
            <w:pPr>
              <w:pStyle w:val="7"/>
              <w:numPr>
                <w:ilvl w:val="0"/>
                <w:numId w:val="10"/>
              </w:numPr>
              <w:spacing w:after="0" w:line="360" w:lineRule="auto"/>
              <w:rPr>
                <w:rFonts w:ascii="宋体"/>
                <w:color w:val="000000" w:themeColor="text1"/>
                <w:sz w:val="21"/>
                <w:szCs w:val="21"/>
                <w:lang w:val="en-US" w:eastAsia="zh-CN"/>
              </w:rPr>
            </w:pPr>
            <w:r>
              <w:rPr>
                <w:rFonts w:hint="eastAsia" w:ascii="宋体" w:hAnsi="宋体"/>
                <w:color w:val="000000" w:themeColor="text1"/>
                <w:sz w:val="21"/>
                <w:szCs w:val="21"/>
                <w:lang w:val="en-US" w:eastAsia="zh-CN"/>
              </w:rPr>
              <w:t>突然断电后，设备应处于保护状态，以免造成事故。</w:t>
            </w:r>
          </w:p>
          <w:p>
            <w:pPr>
              <w:spacing w:line="276" w:lineRule="auto"/>
              <w:jc w:val="both"/>
              <w:rPr>
                <w:rFonts w:ascii="宋体"/>
                <w:szCs w:val="21"/>
                <w:lang w:val="en-US" w:eastAsia="zh-CN"/>
              </w:rPr>
            </w:pPr>
            <w:r>
              <w:rPr>
                <w:rFonts w:hint="eastAsia" w:ascii="宋体" w:hAnsi="宋体"/>
                <w:szCs w:val="21"/>
                <w:lang w:val="en-US" w:eastAsia="zh-CN"/>
              </w:rPr>
              <w:t>来电后设备应处于暂停待命状态，需要人为操作设备才能运行。</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after="0" w:line="360" w:lineRule="auto"/>
              <w:rPr>
                <w:rFonts w:hint="eastAsia" w:ascii="宋体" w:hAnsi="宋体"/>
                <w:sz w:val="21"/>
                <w:szCs w:val="21"/>
                <w:lang w:val="en-US" w:eastAsia="zh-CN"/>
              </w:rPr>
            </w:pPr>
            <w:r>
              <w:rPr>
                <w:rFonts w:hint="eastAsia" w:ascii="宋体" w:hAnsi="宋体"/>
                <w:sz w:val="21"/>
                <w:szCs w:val="21"/>
                <w:lang w:val="en-US" w:eastAsia="zh-CN"/>
              </w:rPr>
              <w:t>取风和排风要求：</w:t>
            </w:r>
          </w:p>
          <w:p>
            <w:pPr>
              <w:pStyle w:val="7"/>
              <w:numPr>
                <w:ilvl w:val="0"/>
                <w:numId w:val="11"/>
              </w:numPr>
              <w:spacing w:after="0" w:line="360" w:lineRule="auto"/>
              <w:rPr>
                <w:rFonts w:hint="eastAsia" w:ascii="宋体" w:hAnsi="宋体"/>
                <w:sz w:val="21"/>
                <w:szCs w:val="21"/>
                <w:lang w:val="en-US" w:eastAsia="zh-CN"/>
              </w:rPr>
            </w:pPr>
            <w:r>
              <w:rPr>
                <w:rFonts w:hint="eastAsia" w:ascii="宋体" w:hAnsi="宋体"/>
                <w:sz w:val="21"/>
                <w:szCs w:val="21"/>
                <w:lang w:val="en-US" w:eastAsia="zh-CN"/>
              </w:rPr>
              <w:t>取风风量控制在425m</w:t>
            </w:r>
            <w:r>
              <w:rPr>
                <w:rFonts w:hint="eastAsia" w:ascii="宋体" w:hAnsi="宋体"/>
                <w:sz w:val="21"/>
                <w:szCs w:val="21"/>
                <w:vertAlign w:val="superscript"/>
                <w:lang w:val="en-US" w:eastAsia="zh-CN"/>
              </w:rPr>
              <w:t>3</w:t>
            </w:r>
            <w:r>
              <w:rPr>
                <w:rFonts w:hint="eastAsia" w:ascii="宋体" w:hAnsi="宋体"/>
                <w:sz w:val="21"/>
                <w:szCs w:val="21"/>
                <w:lang w:val="en-US" w:eastAsia="zh-CN"/>
              </w:rPr>
              <w:t>/h.</w:t>
            </w:r>
          </w:p>
          <w:p>
            <w:pPr>
              <w:pStyle w:val="7"/>
              <w:numPr>
                <w:ilvl w:val="0"/>
                <w:numId w:val="11"/>
              </w:numPr>
              <w:spacing w:after="0" w:line="360" w:lineRule="auto"/>
              <w:ind w:left="0" w:leftChars="0" w:firstLine="0" w:firstLineChars="0"/>
              <w:rPr>
                <w:rFonts w:hint="default" w:ascii="宋体" w:hAnsi="宋体"/>
                <w:sz w:val="21"/>
                <w:szCs w:val="21"/>
                <w:lang w:val="en-US" w:eastAsia="zh-CN"/>
              </w:rPr>
            </w:pPr>
            <w:r>
              <w:rPr>
                <w:rFonts w:hint="eastAsia" w:ascii="宋体" w:hAnsi="宋体"/>
                <w:sz w:val="21"/>
                <w:szCs w:val="21"/>
                <w:lang w:val="en-US" w:eastAsia="zh-CN"/>
              </w:rPr>
              <w:t>排风用的风管应伸入夹层排放，和公共排风管对接，风量控制在425m</w:t>
            </w:r>
            <w:r>
              <w:rPr>
                <w:rFonts w:hint="eastAsia" w:ascii="宋体" w:hAnsi="宋体"/>
                <w:sz w:val="21"/>
                <w:szCs w:val="21"/>
                <w:vertAlign w:val="superscript"/>
                <w:lang w:val="en-US" w:eastAsia="zh-CN"/>
              </w:rPr>
              <w:t>3</w:t>
            </w:r>
            <w:r>
              <w:rPr>
                <w:rFonts w:hint="eastAsia" w:ascii="宋体" w:hAnsi="宋体"/>
                <w:sz w:val="21"/>
                <w:szCs w:val="21"/>
                <w:lang w:val="en-US" w:eastAsia="zh-CN"/>
              </w:rPr>
              <w:t>/h.</w:t>
            </w:r>
          </w:p>
        </w:tc>
        <w:tc>
          <w:tcPr>
            <w:tcW w:w="2125" w:type="dxa"/>
            <w:shd w:val="clear" w:color="auto" w:fill="auto"/>
            <w:vAlign w:val="center"/>
          </w:tcPr>
          <w:p>
            <w:pPr>
              <w:jc w:val="center"/>
              <w:rPr>
                <w:rFonts w:hint="eastAsia"/>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after="0" w:line="360" w:lineRule="auto"/>
              <w:rPr>
                <w:sz w:val="21"/>
                <w:szCs w:val="21"/>
                <w:lang w:val="en-US" w:eastAsia="zh-CN"/>
              </w:rPr>
            </w:pPr>
            <w:r>
              <w:rPr>
                <w:sz w:val="21"/>
                <w:szCs w:val="21"/>
                <w:lang w:val="en-US" w:eastAsia="zh-CN"/>
              </w:rPr>
              <w:t>软件要求</w:t>
            </w:r>
          </w:p>
          <w:p>
            <w:pPr>
              <w:pStyle w:val="7"/>
              <w:numPr>
                <w:ilvl w:val="0"/>
                <w:numId w:val="12"/>
              </w:numPr>
              <w:spacing w:after="0" w:line="360" w:lineRule="auto"/>
              <w:rPr>
                <w:sz w:val="21"/>
                <w:szCs w:val="21"/>
                <w:lang w:val="en-US" w:eastAsia="zh-CN"/>
              </w:rPr>
            </w:pPr>
            <w:r>
              <w:rPr>
                <w:sz w:val="21"/>
                <w:szCs w:val="21"/>
                <w:lang w:val="en-US" w:eastAsia="zh-CN"/>
              </w:rPr>
              <w:t>设备生命周期内供应商应能够免费升级软件，软件系统可根据将来设备需要进行升级、更新。</w:t>
            </w:r>
          </w:p>
          <w:p>
            <w:pPr>
              <w:pStyle w:val="7"/>
              <w:numPr>
                <w:ilvl w:val="0"/>
                <w:numId w:val="12"/>
              </w:numPr>
              <w:spacing w:after="0" w:line="360" w:lineRule="auto"/>
              <w:rPr>
                <w:sz w:val="21"/>
                <w:szCs w:val="21"/>
                <w:lang w:val="en-US" w:eastAsia="zh-CN"/>
              </w:rPr>
            </w:pPr>
            <w:r>
              <w:rPr>
                <w:sz w:val="21"/>
                <w:szCs w:val="21"/>
                <w:lang w:val="en-US" w:eastAsia="zh-CN"/>
              </w:rPr>
              <w:t>软件应有配方管理功能，能够新建、修改、删除，下载配方；</w:t>
            </w:r>
          </w:p>
          <w:p>
            <w:pPr>
              <w:pStyle w:val="7"/>
              <w:numPr>
                <w:ilvl w:val="0"/>
                <w:numId w:val="12"/>
              </w:numPr>
              <w:spacing w:after="0" w:line="360" w:lineRule="auto"/>
              <w:rPr>
                <w:color w:val="FF0000"/>
                <w:sz w:val="21"/>
                <w:szCs w:val="21"/>
                <w:lang w:val="en-US" w:eastAsia="zh-CN"/>
              </w:rPr>
            </w:pPr>
            <w:r>
              <w:rPr>
                <w:sz w:val="21"/>
                <w:szCs w:val="21"/>
                <w:lang w:val="en-US" w:eastAsia="zh-CN"/>
              </w:rPr>
              <w:t>应具有数据记录功能，能够记录不少于300次灭菌数据，并能够根据时间进行查看，灭菌数据能够存储在U盘中、导出后进行打印、备份、查询、恢复等。系统存储容量</w:t>
            </w:r>
            <w:r>
              <w:rPr>
                <w:rFonts w:hint="eastAsia"/>
                <w:sz w:val="21"/>
                <w:szCs w:val="21"/>
                <w:lang w:val="en-US" w:eastAsia="zh-CN"/>
              </w:rPr>
              <w:t>至少可存储5</w:t>
            </w:r>
            <w:r>
              <w:rPr>
                <w:sz w:val="21"/>
                <w:szCs w:val="21"/>
                <w:lang w:val="en-US" w:eastAsia="zh-CN"/>
              </w:rPr>
              <w:t>0000</w:t>
            </w:r>
            <w:r>
              <w:rPr>
                <w:rFonts w:hint="eastAsia"/>
                <w:sz w:val="21"/>
                <w:szCs w:val="21"/>
                <w:lang w:val="en-US" w:eastAsia="zh-CN"/>
              </w:rPr>
              <w:t>条数据。并且在设备验收阶段，供应商应根据设备使用频次，给出数据备份或更换存储卡的周期。</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25"/>
    </w:tbl>
    <w:p>
      <w:pPr>
        <w:pStyle w:val="31"/>
        <w:numPr>
          <w:ilvl w:val="0"/>
          <w:numId w:val="3"/>
        </w:numPr>
        <w:spacing w:after="158" w:afterLines="50"/>
        <w:ind w:left="426" w:hanging="426" w:hangingChars="202"/>
        <w:outlineLvl w:val="0"/>
        <w:rPr>
          <w:rFonts w:ascii="Times New Roman" w:hAnsi="Times New Roman"/>
          <w:b/>
        </w:rPr>
      </w:pPr>
      <w:bookmarkStart w:id="27" w:name="_Toc522716122"/>
      <w:bookmarkStart w:id="28" w:name="_Toc522107742"/>
      <w:bookmarkStart w:id="29" w:name="_Toc483400317"/>
      <w:bookmarkStart w:id="30" w:name="_Toc482369815"/>
      <w:bookmarkStart w:id="31" w:name="_Toc482370359"/>
      <w:bookmarkStart w:id="32" w:name="_Toc482370767"/>
      <w:bookmarkStart w:id="33" w:name="_Toc481702480"/>
      <w:bookmarkStart w:id="34" w:name="_Toc482370071"/>
      <w:bookmarkStart w:id="35" w:name="_Toc482717202"/>
      <w:bookmarkStart w:id="36" w:name="_Toc482370151"/>
      <w:bookmarkStart w:id="37" w:name="_Toc482359946"/>
      <w:bookmarkStart w:id="38" w:name="_Toc482625289"/>
      <w:bookmarkStart w:id="39" w:name="_Toc483227237"/>
      <w:bookmarkStart w:id="40" w:name="_Toc482360291"/>
      <w:r>
        <w:rPr>
          <w:rFonts w:ascii="Times New Roman" w:hAnsi="Times New Roman"/>
          <w:b/>
        </w:rPr>
        <w:t>电气、自动控制要求</w:t>
      </w:r>
      <w:bookmarkEnd w:id="27"/>
    </w:p>
    <w:p>
      <w:pPr>
        <w:pStyle w:val="41"/>
        <w:spacing w:before="0" w:line="360" w:lineRule="auto"/>
        <w:ind w:left="425"/>
        <w:jc w:val="left"/>
        <w:rPr>
          <w:i/>
          <w:color w:val="4472C4"/>
          <w:szCs w:val="21"/>
          <w:lang w:eastAsia="zh-CN"/>
        </w:rPr>
      </w:pPr>
      <w:permStart w:id="26" w:edGrp="everyone"/>
    </w:p>
    <w:permEnd w:id="26"/>
    <w:tbl>
      <w:tblPr>
        <w:tblStyle w:val="19"/>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2"/>
                <w:numId w:val="13"/>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自动控制要求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27" w:edGrp="everyone"/>
          </w:p>
        </w:tc>
        <w:tc>
          <w:tcPr>
            <w:tcW w:w="7128" w:type="dxa"/>
            <w:shd w:val="clear" w:color="auto" w:fill="auto"/>
            <w:vAlign w:val="center"/>
          </w:tcPr>
          <w:p>
            <w:pPr>
              <w:spacing w:line="276" w:lineRule="auto"/>
              <w:jc w:val="both"/>
              <w:rPr>
                <w:i/>
                <w:szCs w:val="21"/>
                <w:lang w:eastAsia="zh-CN"/>
              </w:rPr>
            </w:pPr>
            <w:r>
              <w:rPr>
                <w:rFonts w:hint="eastAsia" w:ascii="宋体" w:hAnsi="宋体"/>
                <w:szCs w:val="21"/>
                <w:lang w:val="en-US" w:eastAsia="zh-CN"/>
              </w:rPr>
              <w:t>系统自动运行：可自动控制循环风机、排风机、加热管等的启停以完成预热、干燥（或灭菌）和降温的过程；自控系统能在线设置并控制所有参数，能监测干烤过程中各个关键工艺参数。关键工艺参数，包括但不仅限于：灭菌过程中的温度、时间和腔室内、外压差。</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28" w:edGrp="everyone"/>
          </w:p>
        </w:tc>
        <w:tc>
          <w:tcPr>
            <w:tcW w:w="7128" w:type="dxa"/>
            <w:shd w:val="clear" w:color="auto" w:fill="auto"/>
            <w:vAlign w:val="center"/>
          </w:tcPr>
          <w:p>
            <w:pPr>
              <w:spacing w:line="276" w:lineRule="auto"/>
              <w:jc w:val="both"/>
              <w:rPr>
                <w:color w:val="FF0000"/>
                <w:szCs w:val="21"/>
                <w:lang w:eastAsia="zh-CN"/>
              </w:rPr>
            </w:pPr>
            <w:r>
              <w:rPr>
                <w:rFonts w:hint="eastAsia"/>
                <w:szCs w:val="21"/>
                <w:lang w:eastAsia="zh-CN"/>
              </w:rPr>
              <w:t>系统自动PID调节控制，温度可选范围在60℃—250℃，超调量≤5℃，温度稳定后波动≤±1℃</w:t>
            </w:r>
            <w:r>
              <w:rPr>
                <w:rFonts w:hint="eastAsia"/>
                <w:color w:val="000000" w:themeColor="text1"/>
                <w:szCs w:val="21"/>
                <w:lang w:eastAsia="zh-CN"/>
              </w:rPr>
              <w:t>；需要采用加热管分组启停控制，温度达到稳定值附近时自动减少加热管开启数量。</w:t>
            </w:r>
          </w:p>
          <w:p>
            <w:pPr>
              <w:spacing w:line="276" w:lineRule="auto"/>
              <w:jc w:val="both"/>
              <w:rPr>
                <w:szCs w:val="21"/>
                <w:lang w:eastAsia="zh-CN"/>
              </w:rPr>
            </w:pPr>
            <w:r>
              <w:rPr>
                <w:rFonts w:hint="eastAsia"/>
                <w:szCs w:val="21"/>
                <w:lang w:eastAsia="zh-CN"/>
              </w:rPr>
              <w:t>排风口风机在循环风机启动的情况下可自动开启，以排出室内的湿气、参与控制压差。</w:t>
            </w:r>
          </w:p>
          <w:p>
            <w:pPr>
              <w:spacing w:line="276" w:lineRule="auto"/>
              <w:jc w:val="both"/>
              <w:rPr>
                <w:szCs w:val="21"/>
                <w:lang w:eastAsia="zh-CN"/>
              </w:rPr>
            </w:pPr>
            <w:r>
              <w:rPr>
                <w:rFonts w:hint="eastAsia"/>
                <w:szCs w:val="21"/>
                <w:lang w:eastAsia="zh-CN"/>
              </w:rPr>
              <w:t>干燥（或灭菌）程序包含冷却降温过程，可开启冷风机使其温度降低，降温过程内室必须保持对外正压不少于10Pa。</w:t>
            </w:r>
          </w:p>
          <w:p>
            <w:pPr>
              <w:spacing w:line="276" w:lineRule="auto"/>
              <w:jc w:val="both"/>
              <w:rPr>
                <w:szCs w:val="21"/>
                <w:lang w:eastAsia="zh-CN"/>
              </w:rPr>
            </w:pPr>
            <w:r>
              <w:rPr>
                <w:rFonts w:hint="eastAsia"/>
                <w:szCs w:val="21"/>
                <w:lang w:eastAsia="zh-CN"/>
              </w:rPr>
              <w:t>建议使用6个温度探头：控温点、超温报警点、四点巡检温度探头；温控使用优质双芯温度探头，一路参与控制一路参与打印，探头的分辨率（灵敏度）不得低于0.1℃；温度探头安装位置合理，方便拆卸做环路校验；</w:t>
            </w:r>
            <w:r>
              <w:rPr>
                <w:rFonts w:hint="eastAsia" w:ascii="Arial" w:hAnsi="Arial" w:cs="Arial"/>
                <w:szCs w:val="24"/>
                <w:lang w:val="it-IT" w:eastAsia="zh-CN"/>
              </w:rPr>
              <w:t>具备</w:t>
            </w:r>
            <w:r>
              <w:rPr>
                <w:rFonts w:hint="eastAsia"/>
                <w:lang w:eastAsia="zh-CN"/>
              </w:rPr>
              <w:t>探头偏移校准功能和界面且该功能只有管理员有权限</w:t>
            </w:r>
            <w:r>
              <w:rPr>
                <w:rFonts w:hint="eastAsia" w:ascii="Arial" w:hAnsi="Arial" w:cs="Arial"/>
                <w:szCs w:val="24"/>
                <w:lang w:val="it-IT" w:eastAsia="zh-CN"/>
              </w:rPr>
              <w:t>。</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after="0" w:line="276" w:lineRule="auto"/>
              <w:rPr>
                <w:rFonts w:ascii="宋体"/>
                <w:sz w:val="21"/>
                <w:szCs w:val="21"/>
                <w:lang w:eastAsia="zh-CN"/>
              </w:rPr>
            </w:pPr>
            <w:r>
              <w:rPr>
                <w:rFonts w:hint="eastAsia" w:ascii="宋体" w:hAnsi="宋体"/>
                <w:sz w:val="21"/>
                <w:szCs w:val="21"/>
                <w:lang w:eastAsia="zh-CN"/>
              </w:rPr>
              <w:t>内室压力自动控制</w:t>
            </w:r>
          </w:p>
          <w:p>
            <w:pPr>
              <w:pStyle w:val="7"/>
              <w:spacing w:after="0" w:line="276" w:lineRule="auto"/>
              <w:rPr>
                <w:rFonts w:ascii="宋体"/>
                <w:sz w:val="21"/>
                <w:szCs w:val="21"/>
                <w:lang w:eastAsia="zh-CN"/>
              </w:rPr>
            </w:pPr>
            <w:r>
              <w:rPr>
                <w:rFonts w:hint="eastAsia" w:ascii="宋体" w:hAnsi="宋体"/>
                <w:sz w:val="21"/>
                <w:szCs w:val="21"/>
                <w:lang w:val="en-US" w:eastAsia="zh-CN"/>
              </w:rPr>
              <w:t>使用进口压力变送器（非机械式）来测量、使用变频器控制电机来参与内室压力的控制，以保持内室压力始终为正压，始终大于外界至少</w:t>
            </w:r>
            <w:r>
              <w:rPr>
                <w:rFonts w:ascii="宋体" w:hAnsi="宋体"/>
                <w:sz w:val="21"/>
                <w:szCs w:val="21"/>
                <w:lang w:val="en-US" w:eastAsia="zh-CN"/>
              </w:rPr>
              <w:t>10Pa</w:t>
            </w:r>
            <w:r>
              <w:rPr>
                <w:rFonts w:hint="eastAsia" w:ascii="宋体" w:hAnsi="宋体"/>
                <w:sz w:val="21"/>
                <w:szCs w:val="21"/>
                <w:lang w:val="en-US" w:eastAsia="zh-CN"/>
              </w:rPr>
              <w:t>。</w:t>
            </w:r>
          </w:p>
          <w:p>
            <w:pPr>
              <w:spacing w:line="276" w:lineRule="auto"/>
              <w:jc w:val="both"/>
              <w:rPr>
                <w:szCs w:val="21"/>
                <w:lang w:eastAsia="zh-CN"/>
              </w:rPr>
            </w:pPr>
            <w:r>
              <w:rPr>
                <w:rFonts w:hint="eastAsia" w:ascii="宋体" w:hAnsi="宋体"/>
                <w:szCs w:val="21"/>
                <w:lang w:eastAsia="zh-CN"/>
              </w:rPr>
              <w:t>循环风机使用变频器控制，功率合适，噪音低，输出功率有一定调节范围。</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after="0" w:line="276" w:lineRule="auto"/>
              <w:rPr>
                <w:rFonts w:ascii="宋体" w:hAnsi="宋体"/>
                <w:sz w:val="21"/>
                <w:szCs w:val="21"/>
                <w:lang w:val="en-US" w:eastAsia="zh-CN"/>
              </w:rPr>
            </w:pPr>
            <w:r>
              <w:rPr>
                <w:rFonts w:hint="eastAsia" w:ascii="宋体" w:hAnsi="宋体"/>
                <w:sz w:val="21"/>
                <w:szCs w:val="21"/>
                <w:lang w:val="en-US" w:eastAsia="zh-CN"/>
              </w:rPr>
              <w:t>控制系统采用西门子人机界面触摸屏和</w:t>
            </w:r>
            <w:r>
              <w:rPr>
                <w:rFonts w:ascii="宋体" w:hAnsi="宋体"/>
                <w:sz w:val="21"/>
                <w:szCs w:val="21"/>
                <w:lang w:val="en-US" w:eastAsia="zh-CN"/>
              </w:rPr>
              <w:t>PLC</w:t>
            </w:r>
            <w:r>
              <w:rPr>
                <w:rFonts w:hint="eastAsia" w:ascii="宋体" w:hAnsi="宋体"/>
                <w:sz w:val="21"/>
                <w:szCs w:val="21"/>
                <w:lang w:val="en-US" w:eastAsia="zh-CN"/>
              </w:rPr>
              <w:t>，触摸屏尺寸至少9英寸，界面能够显示设备工艺的各个参数（如温度显示到小数点后一位），控制简单，操作方便；</w:t>
            </w:r>
          </w:p>
          <w:p>
            <w:pPr>
              <w:pStyle w:val="7"/>
              <w:spacing w:after="0" w:line="276" w:lineRule="auto"/>
              <w:rPr>
                <w:rFonts w:ascii="宋体" w:hAnsi="宋体"/>
                <w:sz w:val="21"/>
                <w:szCs w:val="21"/>
                <w:lang w:val="en-US" w:eastAsia="zh-CN"/>
              </w:rPr>
            </w:pPr>
            <w:r>
              <w:rPr>
                <w:rFonts w:hint="eastAsia" w:ascii="宋体" w:hAnsi="宋体"/>
                <w:sz w:val="21"/>
                <w:szCs w:val="21"/>
                <w:lang w:val="en-US" w:eastAsia="zh-CN"/>
              </w:rPr>
              <w:t>触摸屏主界面可显示门的开关状态、风机运行状态、灭菌过程进行情况、灭菌周期是否完成、设备故障报警、实时温度、压力值、</w:t>
            </w:r>
            <w:r>
              <w:rPr>
                <w:rFonts w:ascii="宋体" w:hAnsi="宋体"/>
                <w:sz w:val="21"/>
                <w:szCs w:val="21"/>
                <w:lang w:val="en-US" w:eastAsia="zh-CN"/>
              </w:rPr>
              <w:t>4</w:t>
            </w:r>
            <w:r>
              <w:rPr>
                <w:rFonts w:hint="eastAsia" w:ascii="宋体" w:hAnsi="宋体"/>
                <w:sz w:val="21"/>
                <w:szCs w:val="21"/>
                <w:lang w:val="en-US" w:eastAsia="zh-CN"/>
              </w:rPr>
              <w:t>个巡检温度值等；</w:t>
            </w:r>
          </w:p>
          <w:p>
            <w:pPr>
              <w:spacing w:line="276" w:lineRule="auto"/>
              <w:jc w:val="both"/>
              <w:rPr>
                <w:szCs w:val="21"/>
                <w:lang w:eastAsia="zh-CN"/>
              </w:rPr>
            </w:pPr>
            <w:r>
              <w:rPr>
                <w:rFonts w:hint="eastAsia" w:ascii="宋体" w:hAnsi="宋体"/>
                <w:szCs w:val="21"/>
                <w:lang w:val="en-US" w:eastAsia="zh-CN"/>
              </w:rPr>
              <w:t>可在触摸屏上进行以下设置：灭菌温度、超温报警温度、内室压差、灭菌时间、</w:t>
            </w:r>
            <w:r>
              <w:rPr>
                <w:rFonts w:ascii="宋体" w:hAnsi="宋体"/>
                <w:szCs w:val="21"/>
                <w:lang w:val="en-US" w:eastAsia="zh-CN"/>
              </w:rPr>
              <w:t>PID</w:t>
            </w:r>
            <w:r>
              <w:rPr>
                <w:rFonts w:hint="eastAsia" w:ascii="宋体" w:hAnsi="宋体"/>
                <w:szCs w:val="21"/>
                <w:lang w:val="en-US" w:eastAsia="zh-CN"/>
              </w:rPr>
              <w:t>数值设定等。</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after="0" w:line="276" w:lineRule="auto"/>
              <w:rPr>
                <w:rFonts w:ascii="宋体" w:hAnsi="宋体"/>
                <w:sz w:val="21"/>
                <w:szCs w:val="21"/>
                <w:lang w:eastAsia="zh-CN"/>
              </w:rPr>
            </w:pPr>
            <w:r>
              <w:rPr>
                <w:rFonts w:hint="eastAsia" w:ascii="宋体" w:hAnsi="宋体"/>
                <w:sz w:val="21"/>
                <w:szCs w:val="21"/>
                <w:lang w:eastAsia="zh-CN"/>
              </w:rPr>
              <w:t>自动检测功能：可自动检查各风机是否正常运转，如风机因故障停转设备会发出报警，并采取保护动作保护高效和内部洁净度；</w:t>
            </w:r>
          </w:p>
          <w:p>
            <w:pPr>
              <w:pStyle w:val="7"/>
              <w:spacing w:after="0" w:line="276" w:lineRule="auto"/>
              <w:rPr>
                <w:rFonts w:ascii="宋体" w:hAnsi="宋体"/>
                <w:sz w:val="21"/>
                <w:szCs w:val="21"/>
                <w:lang w:eastAsia="zh-CN"/>
              </w:rPr>
            </w:pPr>
            <w:r>
              <w:rPr>
                <w:rFonts w:hint="eastAsia" w:ascii="宋体" w:hAnsi="宋体"/>
                <w:sz w:val="21"/>
                <w:szCs w:val="21"/>
                <w:lang w:eastAsia="zh-CN"/>
              </w:rPr>
              <w:t>可自动检测内室温度超标，当温度高于设定值时自动发出报警并停止加热以保护高效和柜内物品；当温度低于设定值时自动发出报警并停止计算灭菌时间，在温度恢复后继续计时；</w:t>
            </w:r>
          </w:p>
          <w:p>
            <w:pPr>
              <w:spacing w:line="276" w:lineRule="auto"/>
              <w:jc w:val="both"/>
              <w:rPr>
                <w:szCs w:val="21"/>
                <w:lang w:eastAsia="zh-CN"/>
              </w:rPr>
            </w:pPr>
            <w:r>
              <w:rPr>
                <w:rFonts w:hint="eastAsia" w:ascii="宋体" w:hAnsi="宋体"/>
                <w:szCs w:val="21"/>
                <w:lang w:eastAsia="zh-CN"/>
              </w:rPr>
              <w:t>可自检门是否关闭到位，如开关门不到位会发出报警并无法启动自动程序。</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rFonts w:hint="eastAsia" w:ascii="宋体" w:hAnsi="宋体"/>
                <w:szCs w:val="21"/>
                <w:lang w:eastAsia="zh-CN"/>
              </w:rPr>
              <w:t>可进行以下手动操作：循环风机开关、强制冷却风机开关、加热管开关等。</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rFonts w:hint="eastAsia" w:ascii="宋体" w:hAnsi="宋体"/>
                <w:szCs w:val="21"/>
                <w:lang w:eastAsia="zh-CN"/>
              </w:rPr>
              <w:t>程序自带安全自锁功能：只有循环风机运行后加热器才能正常工作，否则加热器无法启动；强制冷却风机只能在灭菌（干燥）过程结束后或者温度超限后自动开启，起快速冷却的作用，在正常灭菌（干燥）过程中无法开启，当降到设定温度时循环风机和冷却风机才能关闭。以上功能需要在</w:t>
            </w:r>
            <w:r>
              <w:rPr>
                <w:rFonts w:ascii="宋体" w:hAnsi="宋体"/>
                <w:szCs w:val="21"/>
                <w:lang w:eastAsia="zh-CN"/>
              </w:rPr>
              <w:t>OQ</w:t>
            </w:r>
            <w:r>
              <w:rPr>
                <w:rFonts w:hint="eastAsia" w:ascii="宋体" w:hAnsi="宋体"/>
                <w:szCs w:val="21"/>
                <w:lang w:eastAsia="zh-CN"/>
              </w:rPr>
              <w:t>时验证。</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rFonts w:hint="eastAsia" w:ascii="宋体" w:hAnsi="宋体"/>
                <w:szCs w:val="21"/>
                <w:lang w:eastAsia="zh-CN"/>
              </w:rPr>
              <w:t>系统可生成灭菌及测试程序的数据记录，并能在触摸屏上查询、导出备份、恢复，实时打印内容包括打印序列号、操作人信息、设置参数信息、时间、数据等信息。</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宋体" w:hAnsi="宋体"/>
                <w:szCs w:val="21"/>
                <w:lang w:eastAsia="zh-CN"/>
              </w:rPr>
            </w:pPr>
            <w:r>
              <w:rPr>
                <w:rFonts w:hint="eastAsia" w:ascii="宋体" w:hAnsi="宋体" w:cs="宋体"/>
                <w:szCs w:val="21"/>
                <w:lang w:val="en-US" w:eastAsia="zh-CN"/>
              </w:rPr>
              <w:t>数据和曲线可实时打印，打印的数据内容包括打印序列号（自动生成不可更改）、操作人信息、设置参数信息、程序名称、运行时间、数据等信息，打印的曲线清晰易于分辨</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rFonts w:hint="eastAsia" w:ascii="宋体" w:hAnsi="宋体"/>
                <w:szCs w:val="21"/>
                <w:lang w:eastAsia="zh-CN"/>
              </w:rPr>
              <w:t>主界面可显示门的开关状态、灭菌过程是否进行、灭菌周期是否完成、是否故障、实时温度、实时压力。</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rFonts w:hint="eastAsia" w:ascii="宋体" w:hAnsi="宋体"/>
                <w:szCs w:val="21"/>
                <w:lang w:eastAsia="zh-CN"/>
              </w:rPr>
              <w:t>配进口品牌针式打印机，可打印灭菌开始至灭菌结束的时间、温度数据，打印间隔可设置、打印精度</w:t>
            </w:r>
            <w:r>
              <w:rPr>
                <w:rFonts w:ascii="宋体" w:hAnsi="宋体"/>
                <w:szCs w:val="21"/>
                <w:lang w:eastAsia="zh-CN"/>
              </w:rPr>
              <w:t>0.1</w:t>
            </w:r>
            <w:r>
              <w:rPr>
                <w:rFonts w:hint="eastAsia" w:ascii="宋体" w:hAnsi="宋体"/>
                <w:szCs w:val="21"/>
                <w:lang w:eastAsia="zh-CN"/>
              </w:rPr>
              <w:t>℃，非热敏纸打印，打印不得采用热敏等不易长期保存的方式。</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6"/>
              <w:rPr>
                <w:color w:val="000000" w:themeColor="text1"/>
                <w:lang w:eastAsia="zh-CN"/>
              </w:rPr>
            </w:pPr>
            <w:r>
              <w:rPr>
                <w:rFonts w:hint="eastAsia" w:ascii="宋体" w:hAnsi="宋体"/>
                <w:color w:val="000000" w:themeColor="text1"/>
                <w:szCs w:val="21"/>
                <w:lang w:eastAsia="zh-CN"/>
              </w:rPr>
              <w:t>使用国产压差表：精度不低于</w:t>
            </w:r>
            <w:r>
              <w:rPr>
                <w:rFonts w:ascii="宋体" w:hAnsi="宋体"/>
                <w:color w:val="000000" w:themeColor="text1"/>
                <w:szCs w:val="21"/>
                <w:lang w:eastAsia="zh-CN"/>
              </w:rPr>
              <w:t>0.5%</w:t>
            </w:r>
            <w:r>
              <w:rPr>
                <w:rFonts w:hint="eastAsia" w:ascii="宋体" w:hAnsi="宋体"/>
                <w:color w:val="000000" w:themeColor="text1"/>
                <w:szCs w:val="21"/>
                <w:lang w:eastAsia="zh-CN"/>
              </w:rPr>
              <w:t>，压力记录精确到</w:t>
            </w:r>
            <w:r>
              <w:rPr>
                <w:rFonts w:ascii="宋体" w:hAnsi="宋体"/>
                <w:color w:val="000000" w:themeColor="text1"/>
                <w:szCs w:val="21"/>
                <w:lang w:eastAsia="zh-CN"/>
              </w:rPr>
              <w:t>1pa</w:t>
            </w:r>
            <w:r>
              <w:rPr>
                <w:rFonts w:hint="eastAsia" w:ascii="宋体" w:hAnsi="宋体"/>
                <w:color w:val="000000" w:themeColor="text1"/>
                <w:szCs w:val="21"/>
                <w:lang w:eastAsia="zh-CN"/>
              </w:rPr>
              <w:t>；</w:t>
            </w:r>
            <w:r>
              <w:rPr>
                <w:rFonts w:hint="eastAsia"/>
                <w:color w:val="000000" w:themeColor="text1"/>
                <w:lang w:eastAsia="zh-CN"/>
              </w:rPr>
              <w:t>所有内室高效均有压差表检测是否破损或堵塞。</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after="0" w:line="276" w:lineRule="auto"/>
              <w:rPr>
                <w:rFonts w:ascii="宋体" w:hAnsi="宋体"/>
                <w:sz w:val="21"/>
                <w:szCs w:val="21"/>
                <w:lang w:eastAsia="zh-CN"/>
              </w:rPr>
            </w:pPr>
            <w:r>
              <w:rPr>
                <w:rFonts w:hint="eastAsia" w:ascii="宋体" w:hAnsi="宋体"/>
                <w:sz w:val="21"/>
                <w:szCs w:val="21"/>
                <w:lang w:eastAsia="zh-CN"/>
              </w:rPr>
              <w:t>内室使用进口品牌优质双芯温度探头：</w:t>
            </w:r>
          </w:p>
          <w:p>
            <w:pPr>
              <w:pStyle w:val="7"/>
              <w:spacing w:after="0" w:line="276" w:lineRule="auto"/>
              <w:rPr>
                <w:rFonts w:ascii="宋体" w:hAnsi="宋体"/>
                <w:sz w:val="21"/>
                <w:szCs w:val="21"/>
                <w:lang w:eastAsia="zh-CN"/>
              </w:rPr>
            </w:pPr>
            <w:r>
              <w:rPr>
                <w:rFonts w:hint="eastAsia" w:ascii="宋体" w:hAnsi="宋体"/>
                <w:sz w:val="21"/>
                <w:szCs w:val="21"/>
                <w:lang w:eastAsia="zh-CN"/>
              </w:rPr>
              <w:t>（</w:t>
            </w:r>
            <w:r>
              <w:rPr>
                <w:rFonts w:ascii="宋体" w:hAnsi="宋体"/>
                <w:sz w:val="21"/>
                <w:szCs w:val="21"/>
                <w:lang w:eastAsia="zh-CN"/>
              </w:rPr>
              <w:t>1</w:t>
            </w:r>
            <w:r>
              <w:rPr>
                <w:rFonts w:hint="eastAsia" w:ascii="宋体" w:hAnsi="宋体"/>
                <w:sz w:val="21"/>
                <w:szCs w:val="21"/>
                <w:lang w:eastAsia="zh-CN"/>
              </w:rPr>
              <w:t>）一路用于</w:t>
            </w:r>
            <w:r>
              <w:rPr>
                <w:rFonts w:ascii="宋体" w:hAnsi="宋体"/>
                <w:sz w:val="21"/>
                <w:szCs w:val="21"/>
                <w:lang w:eastAsia="zh-CN"/>
              </w:rPr>
              <w:t>PID</w:t>
            </w:r>
            <w:r>
              <w:rPr>
                <w:rFonts w:hint="eastAsia" w:ascii="宋体" w:hAnsi="宋体"/>
                <w:sz w:val="21"/>
                <w:szCs w:val="21"/>
                <w:lang w:eastAsia="zh-CN"/>
              </w:rPr>
              <w:t>控制，一路用于打印以及显示；</w:t>
            </w:r>
          </w:p>
          <w:p>
            <w:pPr>
              <w:pStyle w:val="7"/>
              <w:spacing w:after="0" w:line="276" w:lineRule="auto"/>
              <w:rPr>
                <w:rFonts w:ascii="宋体" w:hAnsi="宋体"/>
                <w:sz w:val="21"/>
                <w:szCs w:val="21"/>
                <w:lang w:eastAsia="zh-CN"/>
              </w:rPr>
            </w:pPr>
            <w:r>
              <w:rPr>
                <w:rFonts w:hint="eastAsia" w:ascii="宋体" w:hAnsi="宋体"/>
                <w:sz w:val="21"/>
                <w:szCs w:val="21"/>
                <w:lang w:eastAsia="zh-CN"/>
              </w:rPr>
              <w:t>（</w:t>
            </w:r>
            <w:r>
              <w:rPr>
                <w:rFonts w:ascii="宋体" w:hAnsi="宋体"/>
                <w:sz w:val="21"/>
                <w:szCs w:val="21"/>
                <w:lang w:eastAsia="zh-CN"/>
              </w:rPr>
              <w:t>2</w:t>
            </w:r>
            <w:r>
              <w:rPr>
                <w:rFonts w:hint="eastAsia" w:ascii="宋体" w:hAnsi="宋体"/>
                <w:sz w:val="21"/>
                <w:szCs w:val="21"/>
                <w:lang w:eastAsia="zh-CN"/>
              </w:rPr>
              <w:t>）探头的分辨率（灵敏度）不得低于</w:t>
            </w:r>
            <w:r>
              <w:rPr>
                <w:rFonts w:ascii="宋体" w:hAnsi="宋体"/>
                <w:sz w:val="21"/>
                <w:szCs w:val="21"/>
                <w:lang w:eastAsia="zh-CN"/>
              </w:rPr>
              <w:t>0.1</w:t>
            </w:r>
            <w:r>
              <w:rPr>
                <w:rFonts w:hint="eastAsia" w:ascii="宋体" w:hAnsi="宋体"/>
                <w:sz w:val="21"/>
                <w:szCs w:val="21"/>
                <w:lang w:eastAsia="zh-CN"/>
              </w:rPr>
              <w:t>℃；</w:t>
            </w:r>
          </w:p>
          <w:p>
            <w:pPr>
              <w:spacing w:line="276" w:lineRule="auto"/>
              <w:jc w:val="both"/>
              <w:rPr>
                <w:szCs w:val="21"/>
                <w:lang w:eastAsia="zh-CN"/>
              </w:rPr>
            </w:pPr>
            <w:r>
              <w:rPr>
                <w:rFonts w:hint="eastAsia" w:ascii="宋体" w:hAnsi="宋体"/>
                <w:szCs w:val="21"/>
                <w:lang w:eastAsia="zh-CN"/>
              </w:rPr>
              <w:t>（</w:t>
            </w:r>
            <w:r>
              <w:rPr>
                <w:rFonts w:ascii="宋体" w:hAnsi="宋体"/>
                <w:szCs w:val="21"/>
                <w:lang w:eastAsia="zh-CN"/>
              </w:rPr>
              <w:t>3</w:t>
            </w:r>
            <w:r>
              <w:rPr>
                <w:rFonts w:hint="eastAsia" w:ascii="宋体" w:hAnsi="宋体"/>
                <w:szCs w:val="21"/>
                <w:lang w:eastAsia="zh-CN"/>
              </w:rPr>
              <w:t>）温度探头可在校验时通过设备控制面板进行偏移量的校正。</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after="0" w:line="276" w:lineRule="auto"/>
              <w:rPr>
                <w:rFonts w:ascii="宋体" w:hAnsi="宋体"/>
                <w:sz w:val="21"/>
                <w:szCs w:val="21"/>
                <w:lang w:eastAsia="zh-CN"/>
              </w:rPr>
            </w:pPr>
            <w:r>
              <w:rPr>
                <w:rFonts w:hint="eastAsia" w:ascii="宋体" w:hAnsi="宋体"/>
                <w:sz w:val="21"/>
                <w:szCs w:val="21"/>
                <w:lang w:eastAsia="zh-CN"/>
              </w:rPr>
              <w:t>使用进口横河温度</w:t>
            </w:r>
            <w:r>
              <w:rPr>
                <w:rFonts w:ascii="宋体" w:hAnsi="宋体"/>
                <w:sz w:val="21"/>
                <w:szCs w:val="21"/>
                <w:lang w:eastAsia="zh-CN"/>
              </w:rPr>
              <w:t>-</w:t>
            </w:r>
            <w:r>
              <w:rPr>
                <w:rFonts w:hint="eastAsia" w:ascii="宋体" w:hAnsi="宋体"/>
                <w:sz w:val="21"/>
                <w:szCs w:val="21"/>
                <w:lang w:eastAsia="zh-CN"/>
              </w:rPr>
              <w:t>压力曲线多通道记录打印仪：</w:t>
            </w:r>
          </w:p>
          <w:p>
            <w:pPr>
              <w:pStyle w:val="7"/>
              <w:spacing w:after="0" w:line="276" w:lineRule="auto"/>
              <w:rPr>
                <w:rFonts w:ascii="宋体" w:hAnsi="宋体"/>
                <w:sz w:val="21"/>
                <w:szCs w:val="21"/>
                <w:lang w:eastAsia="zh-CN"/>
              </w:rPr>
            </w:pPr>
            <w:r>
              <w:rPr>
                <w:rFonts w:hint="eastAsia" w:ascii="宋体" w:hAnsi="宋体"/>
                <w:sz w:val="21"/>
                <w:szCs w:val="21"/>
                <w:lang w:eastAsia="zh-CN"/>
              </w:rPr>
              <w:t>（</w:t>
            </w:r>
            <w:r>
              <w:rPr>
                <w:rFonts w:ascii="宋体" w:hAnsi="宋体"/>
                <w:sz w:val="21"/>
                <w:szCs w:val="21"/>
                <w:lang w:eastAsia="zh-CN"/>
              </w:rPr>
              <w:t>1</w:t>
            </w:r>
            <w:r>
              <w:rPr>
                <w:rFonts w:hint="eastAsia" w:ascii="宋体" w:hAnsi="宋体"/>
                <w:sz w:val="21"/>
                <w:szCs w:val="21"/>
                <w:lang w:eastAsia="zh-CN"/>
              </w:rPr>
              <w:t>）打印温度精确到</w:t>
            </w:r>
            <w:r>
              <w:rPr>
                <w:rFonts w:ascii="宋体" w:hAnsi="宋体"/>
                <w:sz w:val="21"/>
                <w:szCs w:val="21"/>
                <w:lang w:eastAsia="zh-CN"/>
              </w:rPr>
              <w:t>0.1</w:t>
            </w:r>
            <w:r>
              <w:rPr>
                <w:rFonts w:hint="eastAsia" w:ascii="宋体" w:hAnsi="宋体"/>
                <w:sz w:val="21"/>
                <w:szCs w:val="21"/>
                <w:lang w:eastAsia="zh-CN"/>
              </w:rPr>
              <w:t>℃，压力精确到</w:t>
            </w:r>
            <w:r>
              <w:rPr>
                <w:rFonts w:ascii="宋体" w:hAnsi="宋体"/>
                <w:sz w:val="21"/>
                <w:szCs w:val="21"/>
                <w:lang w:eastAsia="zh-CN"/>
              </w:rPr>
              <w:t>0.1kpa</w:t>
            </w:r>
            <w:r>
              <w:rPr>
                <w:rFonts w:hint="eastAsia" w:ascii="宋体" w:hAnsi="宋体"/>
                <w:sz w:val="21"/>
                <w:szCs w:val="21"/>
                <w:lang w:eastAsia="zh-CN"/>
              </w:rPr>
              <w:t>；</w:t>
            </w:r>
          </w:p>
          <w:p>
            <w:pPr>
              <w:pStyle w:val="7"/>
              <w:spacing w:after="0" w:line="276" w:lineRule="auto"/>
              <w:rPr>
                <w:rFonts w:ascii="宋体" w:hAnsi="宋体"/>
                <w:sz w:val="21"/>
                <w:szCs w:val="21"/>
                <w:lang w:eastAsia="zh-CN"/>
              </w:rPr>
            </w:pPr>
            <w:r>
              <w:rPr>
                <w:rFonts w:hint="eastAsia" w:ascii="宋体" w:hAnsi="宋体"/>
                <w:sz w:val="21"/>
                <w:szCs w:val="21"/>
                <w:lang w:eastAsia="zh-CN"/>
              </w:rPr>
              <w:t>（</w:t>
            </w:r>
            <w:r>
              <w:rPr>
                <w:rFonts w:ascii="宋体" w:hAnsi="宋体"/>
                <w:sz w:val="21"/>
                <w:szCs w:val="21"/>
                <w:lang w:eastAsia="zh-CN"/>
              </w:rPr>
              <w:t>2</w:t>
            </w:r>
            <w:r>
              <w:rPr>
                <w:rFonts w:hint="eastAsia" w:ascii="宋体" w:hAnsi="宋体"/>
                <w:sz w:val="21"/>
                <w:szCs w:val="21"/>
                <w:lang w:eastAsia="zh-CN"/>
              </w:rPr>
              <w:t>）可打印灭菌周期开始至结束的灭菌日期、模式、温度时间曲线、压力时间曲线、打印序列号等信息；</w:t>
            </w:r>
          </w:p>
          <w:p>
            <w:pPr>
              <w:pStyle w:val="7"/>
              <w:spacing w:line="276" w:lineRule="auto"/>
              <w:rPr>
                <w:rFonts w:ascii="宋体" w:hAnsi="宋体" w:cs="宋体"/>
                <w:sz w:val="21"/>
                <w:szCs w:val="21"/>
                <w:lang w:val="en-US" w:eastAsia="zh-CN"/>
              </w:rPr>
            </w:pPr>
            <w:r>
              <w:rPr>
                <w:rFonts w:hint="eastAsia" w:ascii="宋体" w:hAnsi="宋体" w:cs="宋体"/>
                <w:sz w:val="21"/>
                <w:szCs w:val="21"/>
                <w:lang w:val="en-US" w:eastAsia="zh-CN"/>
              </w:rPr>
              <w:t>（3）打印机打印记录上需打印程序温度设定值、恒温时间设定值、批次（八位设备号-三位流水号）、操作人员等信息；程序状态名称打印“升温阶段、恒温阶段、降温阶段”，程序结束时打印“结束”并打印结束时间及相应的时间及温度压力值，最后打印“签名：</w:t>
            </w:r>
          </w:p>
          <w:p>
            <w:pPr>
              <w:pStyle w:val="7"/>
              <w:spacing w:line="276" w:lineRule="auto"/>
              <w:rPr>
                <w:rFonts w:ascii="宋体" w:hAnsi="宋体" w:cs="宋体"/>
                <w:sz w:val="21"/>
                <w:szCs w:val="21"/>
                <w:lang w:val="en-US" w:eastAsia="zh-CN"/>
              </w:rPr>
            </w:pPr>
            <w:r>
              <w:rPr>
                <w:rFonts w:hint="eastAsia" w:ascii="宋体" w:hAnsi="宋体" w:cs="宋体"/>
                <w:sz w:val="21"/>
                <w:szCs w:val="21"/>
                <w:lang w:val="en-US" w:eastAsia="zh-CN"/>
              </w:rPr>
              <w:t>（4）所有温度探头的数据均需打印。</w:t>
            </w:r>
          </w:p>
          <w:p>
            <w:pPr>
              <w:pStyle w:val="6"/>
              <w:spacing w:line="276" w:lineRule="auto"/>
              <w:rPr>
                <w:lang w:eastAsia="zh-CN"/>
              </w:rPr>
            </w:pPr>
            <w:r>
              <w:rPr>
                <w:rFonts w:hint="eastAsia" w:ascii="宋体" w:hAnsi="宋体" w:cs="宋体"/>
                <w:szCs w:val="21"/>
                <w:lang w:val="en-US" w:eastAsia="zh-CN"/>
              </w:rPr>
              <w:t>（5）恒温阶段开始时间及结束时间必须时分秒对应时分秒精确打印，如除热原时间为2小时程序，程序开始时间为10:20:35，结束时打印时间必须为12:20:35，</w:t>
            </w:r>
            <w:r>
              <w:rPr>
                <w:rFonts w:hint="eastAsia" w:ascii="宋体" w:hAnsi="宋体" w:cs="宋体"/>
                <w:color w:val="000000" w:themeColor="text1"/>
                <w:szCs w:val="21"/>
                <w:lang w:val="en-US" w:eastAsia="zh-CN"/>
              </w:rPr>
              <w:t>打印记录每2分钟需打印时间并且</w:t>
            </w:r>
            <w:r>
              <w:rPr>
                <w:rFonts w:hint="eastAsia"/>
                <w:color w:val="000000" w:themeColor="text1"/>
                <w:lang w:eastAsia="zh-CN"/>
              </w:rPr>
              <w:t>打印间隔可调</w:t>
            </w:r>
            <w:r>
              <w:rPr>
                <w:rFonts w:hint="eastAsia"/>
                <w:lang w:eastAsia="zh-CN"/>
              </w:rPr>
              <w:t>，</w:t>
            </w:r>
            <w:r>
              <w:rPr>
                <w:rFonts w:hint="eastAsia" w:ascii="宋体" w:hAnsi="宋体" w:cs="宋体"/>
                <w:szCs w:val="21"/>
                <w:lang w:val="en-US" w:eastAsia="zh-CN"/>
              </w:rPr>
              <w:t>控制探头温度、压力、Fh的数值，每分钟打印信息清晰平均分布在一行中，不能打印为两行。</w:t>
            </w:r>
          </w:p>
          <w:p>
            <w:pPr>
              <w:pStyle w:val="7"/>
              <w:spacing w:after="0" w:line="276" w:lineRule="auto"/>
              <w:rPr>
                <w:rFonts w:ascii="宋体" w:hAnsi="宋体"/>
                <w:sz w:val="21"/>
                <w:szCs w:val="21"/>
                <w:lang w:eastAsia="zh-CN"/>
              </w:rPr>
            </w:pPr>
            <w:r>
              <w:rPr>
                <w:rFonts w:hint="eastAsia" w:ascii="宋体" w:hAnsi="宋体" w:cs="宋体"/>
                <w:sz w:val="21"/>
                <w:szCs w:val="21"/>
                <w:lang w:val="en-US" w:eastAsia="zh-CN"/>
              </w:rPr>
              <w:t>（6）具体打印格式在DQ阶段确认。</w:t>
            </w:r>
          </w:p>
          <w:p>
            <w:pPr>
              <w:pStyle w:val="7"/>
              <w:spacing w:after="0" w:line="276" w:lineRule="auto"/>
              <w:rPr>
                <w:rFonts w:ascii="宋体" w:hAnsi="宋体"/>
                <w:sz w:val="21"/>
                <w:szCs w:val="21"/>
                <w:lang w:eastAsia="zh-CN"/>
              </w:rPr>
            </w:pPr>
            <w:r>
              <w:rPr>
                <w:rFonts w:hint="eastAsia" w:ascii="宋体" w:hAnsi="宋体"/>
                <w:sz w:val="21"/>
                <w:szCs w:val="21"/>
                <w:lang w:eastAsia="zh-CN"/>
              </w:rPr>
              <w:t>（7）打印曲线应平滑，不得使用未连接的点来代替；</w:t>
            </w:r>
          </w:p>
          <w:p>
            <w:pPr>
              <w:pStyle w:val="7"/>
              <w:spacing w:after="0" w:line="276" w:lineRule="auto"/>
              <w:rPr>
                <w:rFonts w:ascii="宋体" w:hAnsi="宋体"/>
                <w:sz w:val="21"/>
                <w:szCs w:val="21"/>
                <w:lang w:eastAsia="zh-CN"/>
              </w:rPr>
            </w:pPr>
            <w:r>
              <w:rPr>
                <w:rFonts w:hint="eastAsia" w:ascii="宋体" w:hAnsi="宋体"/>
                <w:sz w:val="21"/>
                <w:szCs w:val="21"/>
                <w:lang w:eastAsia="zh-CN"/>
              </w:rPr>
              <w:t>（8）打印单位明确，易读易认；</w:t>
            </w:r>
          </w:p>
          <w:p>
            <w:pPr>
              <w:spacing w:line="276" w:lineRule="auto"/>
              <w:jc w:val="both"/>
              <w:rPr>
                <w:szCs w:val="21"/>
                <w:lang w:eastAsia="zh-CN"/>
              </w:rPr>
            </w:pPr>
            <w:r>
              <w:rPr>
                <w:rFonts w:hint="eastAsia" w:ascii="宋体" w:hAnsi="宋体"/>
                <w:szCs w:val="21"/>
                <w:lang w:eastAsia="zh-CN"/>
              </w:rPr>
              <w:t>（9）除非必须，不得使用热敏纸。</w:t>
            </w:r>
          </w:p>
        </w:tc>
        <w:tc>
          <w:tcPr>
            <w:tcW w:w="2125" w:type="dxa"/>
            <w:shd w:val="clear" w:color="auto" w:fill="auto"/>
            <w:vAlign w:val="center"/>
          </w:tcPr>
          <w:p>
            <w:pPr>
              <w:jc w:val="center"/>
              <w:rPr>
                <w:szCs w:val="21"/>
                <w:lang w:eastAsia="zh-CN"/>
              </w:rPr>
            </w:pPr>
            <w:r>
              <w:rPr>
                <w:rFonts w:hint="eastAsia" w:ascii="宋体" w:hAnsi="宋体" w:cs="Arial"/>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after="0" w:line="276" w:lineRule="auto"/>
              <w:rPr>
                <w:rFonts w:ascii="宋体" w:hAnsi="宋体"/>
                <w:sz w:val="21"/>
                <w:szCs w:val="21"/>
                <w:lang w:eastAsia="zh-CN"/>
              </w:rPr>
            </w:pPr>
            <w:r>
              <w:rPr>
                <w:rFonts w:hint="eastAsia" w:ascii="宋体" w:hAnsi="宋体"/>
                <w:sz w:val="21"/>
                <w:szCs w:val="21"/>
                <w:lang w:eastAsia="zh-CN"/>
              </w:rPr>
              <w:t>报警要求：</w:t>
            </w:r>
          </w:p>
          <w:p>
            <w:pPr>
              <w:pStyle w:val="7"/>
              <w:spacing w:after="0" w:line="276" w:lineRule="auto"/>
              <w:rPr>
                <w:rFonts w:ascii="宋体" w:hAnsi="宋体"/>
                <w:sz w:val="21"/>
                <w:szCs w:val="21"/>
                <w:lang w:eastAsia="zh-CN"/>
              </w:rPr>
            </w:pPr>
            <w:r>
              <w:rPr>
                <w:rFonts w:hint="eastAsia" w:ascii="宋体" w:hAnsi="宋体"/>
                <w:sz w:val="21"/>
                <w:szCs w:val="21"/>
                <w:lang w:eastAsia="zh-CN"/>
              </w:rPr>
              <w:t>（</w:t>
            </w:r>
            <w:r>
              <w:rPr>
                <w:rFonts w:ascii="宋体" w:hAnsi="宋体"/>
                <w:sz w:val="21"/>
                <w:szCs w:val="21"/>
                <w:lang w:eastAsia="zh-CN"/>
              </w:rPr>
              <w:t>1</w:t>
            </w:r>
            <w:r>
              <w:rPr>
                <w:rFonts w:hint="eastAsia" w:ascii="宋体" w:hAnsi="宋体"/>
                <w:sz w:val="21"/>
                <w:szCs w:val="21"/>
                <w:lang w:eastAsia="zh-CN"/>
              </w:rPr>
              <w:t>）应根据设定的检测和限制条件及时给出相应的提示、警告。</w:t>
            </w:r>
          </w:p>
          <w:p>
            <w:pPr>
              <w:pStyle w:val="7"/>
              <w:spacing w:after="0" w:line="276" w:lineRule="auto"/>
              <w:rPr>
                <w:rFonts w:ascii="宋体" w:hAnsi="宋体"/>
                <w:sz w:val="21"/>
                <w:szCs w:val="21"/>
                <w:lang w:eastAsia="zh-CN"/>
              </w:rPr>
            </w:pPr>
            <w:r>
              <w:rPr>
                <w:rFonts w:hint="eastAsia" w:ascii="宋体" w:hAnsi="宋体"/>
                <w:sz w:val="21"/>
                <w:szCs w:val="21"/>
                <w:lang w:eastAsia="zh-CN"/>
              </w:rPr>
              <w:t>（</w:t>
            </w:r>
            <w:r>
              <w:rPr>
                <w:rFonts w:ascii="宋体" w:hAnsi="宋体"/>
                <w:sz w:val="21"/>
                <w:szCs w:val="21"/>
                <w:lang w:eastAsia="zh-CN"/>
              </w:rPr>
              <w:t>2</w:t>
            </w:r>
            <w:r>
              <w:rPr>
                <w:rFonts w:hint="eastAsia" w:ascii="宋体" w:hAnsi="宋体"/>
                <w:sz w:val="21"/>
                <w:szCs w:val="21"/>
                <w:lang w:eastAsia="zh-CN"/>
              </w:rPr>
              <w:t>）当设备发生出错状况或出现危急时，报警同时必须自动控制停机，报警信息被全部确认后才能开机，以防止影响产品质量和损坏机器的情况发生。</w:t>
            </w:r>
          </w:p>
          <w:p>
            <w:pPr>
              <w:pStyle w:val="7"/>
              <w:spacing w:after="0" w:line="276" w:lineRule="auto"/>
              <w:rPr>
                <w:rFonts w:ascii="宋体" w:hAnsi="宋体"/>
                <w:sz w:val="21"/>
                <w:szCs w:val="21"/>
                <w:lang w:eastAsia="zh-CN"/>
              </w:rPr>
            </w:pPr>
            <w:r>
              <w:rPr>
                <w:rFonts w:hint="eastAsia" w:ascii="宋体" w:hAnsi="宋体"/>
                <w:sz w:val="21"/>
                <w:szCs w:val="21"/>
                <w:lang w:eastAsia="zh-CN"/>
              </w:rPr>
              <w:t>（</w:t>
            </w:r>
            <w:r>
              <w:rPr>
                <w:rFonts w:ascii="宋体" w:hAnsi="宋体"/>
                <w:sz w:val="21"/>
                <w:szCs w:val="21"/>
                <w:lang w:eastAsia="zh-CN"/>
              </w:rPr>
              <w:t>3</w:t>
            </w:r>
            <w:r>
              <w:rPr>
                <w:rFonts w:hint="eastAsia" w:ascii="宋体" w:hAnsi="宋体"/>
                <w:sz w:val="21"/>
                <w:szCs w:val="21"/>
                <w:lang w:eastAsia="zh-CN"/>
              </w:rPr>
              <w:t>）配有声光报警器。</w:t>
            </w:r>
          </w:p>
          <w:p>
            <w:pPr>
              <w:pStyle w:val="7"/>
              <w:spacing w:after="0" w:line="276" w:lineRule="auto"/>
              <w:rPr>
                <w:rFonts w:ascii="宋体" w:hAnsi="宋体"/>
                <w:sz w:val="21"/>
                <w:szCs w:val="21"/>
                <w:lang w:eastAsia="zh-CN"/>
              </w:rPr>
            </w:pPr>
            <w:r>
              <w:rPr>
                <w:rFonts w:hint="eastAsia" w:ascii="宋体" w:hAnsi="宋体"/>
                <w:sz w:val="21"/>
                <w:szCs w:val="21"/>
                <w:lang w:eastAsia="zh-CN"/>
              </w:rPr>
              <w:t>（</w:t>
            </w:r>
            <w:r>
              <w:rPr>
                <w:rFonts w:ascii="宋体" w:hAnsi="宋体"/>
                <w:sz w:val="21"/>
                <w:szCs w:val="21"/>
                <w:lang w:eastAsia="zh-CN"/>
              </w:rPr>
              <w:t>4</w:t>
            </w:r>
            <w:r>
              <w:rPr>
                <w:rFonts w:hint="eastAsia" w:ascii="宋体" w:hAnsi="宋体"/>
                <w:sz w:val="21"/>
                <w:szCs w:val="21"/>
                <w:lang w:eastAsia="zh-CN"/>
              </w:rPr>
              <w:t>）可提示灭菌过程中温度突然降低、温度超标门互锁报警、软件系统异常等各种异常情况，报警信息能够准确显示故障原因。并可生成不可修改的报警记录，也能存储、打印、导出备份、查询、恢复等。</w:t>
            </w:r>
          </w:p>
          <w:p>
            <w:pPr>
              <w:spacing w:line="276" w:lineRule="auto"/>
              <w:jc w:val="both"/>
              <w:rPr>
                <w:rFonts w:ascii="宋体" w:hAnsi="宋体" w:cs="宋体"/>
                <w:b w:val="0"/>
                <w:bCs w:val="0"/>
                <w:szCs w:val="21"/>
                <w:shd w:val="clear" w:color="FFFFFF" w:fill="D9D9D9"/>
                <w:lang w:val="en-US" w:eastAsia="zh-CN"/>
              </w:rPr>
            </w:pPr>
            <w:r>
              <w:rPr>
                <w:rFonts w:hint="eastAsia" w:ascii="宋体" w:hAnsi="宋体" w:eastAsia="宋体" w:cs="Times New Roman"/>
                <w:sz w:val="21"/>
                <w:szCs w:val="21"/>
                <w:lang w:val="en-US" w:eastAsia="zh-CN" w:bidi="ar-SA"/>
              </w:rPr>
              <w:t>（5）可生成并存储不可修改的报警记录，报警记录可以在触屏上查询并且可以设置报警参数可打印、导出备份、查询、恢复等。</w:t>
            </w:r>
          </w:p>
          <w:p>
            <w:pPr>
              <w:spacing w:line="276" w:lineRule="auto"/>
              <w:jc w:val="both"/>
              <w:rPr>
                <w:szCs w:val="21"/>
                <w:lang w:eastAsia="zh-CN"/>
              </w:rPr>
            </w:pPr>
            <w:r>
              <w:rPr>
                <w:rFonts w:hint="eastAsia" w:ascii="宋体" w:hAnsi="宋体"/>
                <w:szCs w:val="21"/>
                <w:lang w:eastAsia="zh-CN"/>
              </w:rPr>
              <w:t>（6）灭菌过程中的信息自动打印中，可随时调用历史报警记录，不可修改。</w:t>
            </w:r>
          </w:p>
        </w:tc>
        <w:tc>
          <w:tcPr>
            <w:tcW w:w="2125" w:type="dxa"/>
            <w:shd w:val="clear" w:color="auto" w:fill="auto"/>
            <w:vAlign w:val="center"/>
          </w:tcPr>
          <w:p>
            <w:pPr>
              <w:jc w:val="center"/>
              <w:rPr>
                <w:szCs w:val="21"/>
                <w:lang w:eastAsia="zh-CN"/>
              </w:rPr>
            </w:pPr>
            <w:r>
              <w:rPr>
                <w:rFonts w:hint="eastAsia" w:ascii="宋体" w:hAnsi="宋体" w:cs="Arial"/>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after="0" w:line="276" w:lineRule="auto"/>
              <w:rPr>
                <w:rFonts w:ascii="宋体" w:hAnsi="宋体"/>
                <w:sz w:val="21"/>
                <w:szCs w:val="21"/>
                <w:lang w:eastAsia="zh-CN"/>
              </w:rPr>
            </w:pPr>
            <w:r>
              <w:rPr>
                <w:rFonts w:hint="eastAsia" w:ascii="宋体" w:hAnsi="宋体"/>
                <w:sz w:val="21"/>
                <w:szCs w:val="21"/>
                <w:lang w:eastAsia="zh-CN"/>
              </w:rPr>
              <w:t>断电保护：</w:t>
            </w:r>
          </w:p>
          <w:p>
            <w:pPr>
              <w:pStyle w:val="7"/>
              <w:spacing w:after="0" w:line="276" w:lineRule="auto"/>
              <w:rPr>
                <w:rFonts w:ascii="宋体" w:hAnsi="宋体"/>
                <w:sz w:val="21"/>
                <w:szCs w:val="21"/>
                <w:lang w:eastAsia="zh-CN"/>
              </w:rPr>
            </w:pPr>
            <w:r>
              <w:rPr>
                <w:rFonts w:hint="eastAsia" w:ascii="宋体" w:hAnsi="宋体"/>
                <w:sz w:val="21"/>
                <w:szCs w:val="21"/>
                <w:lang w:eastAsia="zh-CN"/>
              </w:rPr>
              <w:t>（</w:t>
            </w:r>
            <w:r>
              <w:rPr>
                <w:rFonts w:ascii="宋体" w:hAnsi="宋体"/>
                <w:sz w:val="21"/>
                <w:szCs w:val="21"/>
                <w:lang w:eastAsia="zh-CN"/>
              </w:rPr>
              <w:t>1</w:t>
            </w:r>
            <w:r>
              <w:rPr>
                <w:rFonts w:hint="eastAsia" w:ascii="宋体" w:hAnsi="宋体"/>
                <w:sz w:val="21"/>
                <w:szCs w:val="21"/>
                <w:lang w:eastAsia="zh-CN"/>
              </w:rPr>
              <w:t>）在设备正常使用时，突然断电后机器的设置参数、数据记录不会丢失或发生错误，软硬件不会损坏，恢复后可正常运行，电子记录可正常存储。</w:t>
            </w:r>
          </w:p>
          <w:p>
            <w:pPr>
              <w:pStyle w:val="7"/>
              <w:spacing w:after="0" w:line="276" w:lineRule="auto"/>
              <w:rPr>
                <w:rFonts w:ascii="宋体" w:hAnsi="宋体"/>
                <w:sz w:val="21"/>
                <w:szCs w:val="21"/>
                <w:lang w:eastAsia="zh-CN"/>
              </w:rPr>
            </w:pPr>
            <w:r>
              <w:rPr>
                <w:rFonts w:hint="eastAsia" w:ascii="宋体" w:hAnsi="宋体"/>
                <w:sz w:val="21"/>
                <w:szCs w:val="21"/>
                <w:lang w:eastAsia="zh-CN"/>
              </w:rPr>
              <w:t>（</w:t>
            </w:r>
            <w:r>
              <w:rPr>
                <w:rFonts w:ascii="宋体" w:hAnsi="宋体"/>
                <w:sz w:val="21"/>
                <w:szCs w:val="21"/>
                <w:lang w:eastAsia="zh-CN"/>
              </w:rPr>
              <w:t>2</w:t>
            </w:r>
            <w:r>
              <w:rPr>
                <w:rFonts w:hint="eastAsia" w:ascii="宋体" w:hAnsi="宋体"/>
                <w:sz w:val="21"/>
                <w:szCs w:val="21"/>
                <w:lang w:eastAsia="zh-CN"/>
              </w:rPr>
              <w:t>）突然断电后，设备应处于保护状态，以免造成事故。</w:t>
            </w:r>
          </w:p>
          <w:p>
            <w:pPr>
              <w:pStyle w:val="7"/>
              <w:spacing w:after="0" w:line="276" w:lineRule="auto"/>
              <w:rPr>
                <w:rFonts w:ascii="宋体" w:hAnsi="宋体"/>
                <w:sz w:val="21"/>
                <w:szCs w:val="21"/>
                <w:lang w:eastAsia="zh-CN"/>
              </w:rPr>
            </w:pPr>
            <w:r>
              <w:rPr>
                <w:rFonts w:hint="eastAsia" w:ascii="宋体" w:hAnsi="宋体"/>
                <w:sz w:val="21"/>
                <w:szCs w:val="21"/>
                <w:lang w:eastAsia="zh-CN"/>
              </w:rPr>
              <w:t>（</w:t>
            </w:r>
            <w:r>
              <w:rPr>
                <w:rFonts w:ascii="宋体" w:hAnsi="宋体"/>
                <w:sz w:val="21"/>
                <w:szCs w:val="21"/>
                <w:lang w:eastAsia="zh-CN"/>
              </w:rPr>
              <w:t>3</w:t>
            </w:r>
            <w:r>
              <w:rPr>
                <w:rFonts w:hint="eastAsia" w:ascii="宋体" w:hAnsi="宋体"/>
                <w:sz w:val="21"/>
                <w:szCs w:val="21"/>
                <w:lang w:eastAsia="zh-CN"/>
              </w:rPr>
              <w:t>）来电后设备应处于暂停待命状态，需要人为操作设备才能运行。</w:t>
            </w:r>
          </w:p>
        </w:tc>
        <w:tc>
          <w:tcPr>
            <w:tcW w:w="2125" w:type="dxa"/>
            <w:shd w:val="clear" w:color="auto" w:fill="auto"/>
            <w:vAlign w:val="center"/>
          </w:tcPr>
          <w:p>
            <w:pPr>
              <w:jc w:val="center"/>
              <w:rPr>
                <w:szCs w:val="21"/>
                <w:lang w:eastAsia="zh-CN"/>
              </w:rPr>
            </w:pPr>
            <w:r>
              <w:rPr>
                <w:rFonts w:hint="eastAsia" w:ascii="宋体" w:hAnsi="宋体" w:cs="Arial"/>
                <w:szCs w:val="21"/>
                <w:lang w:eastAsia="zh-CN"/>
              </w:rPr>
              <w:t>关键</w:t>
            </w:r>
          </w:p>
        </w:tc>
      </w:tr>
      <w:permEnd w:id="2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2"/>
                <w:numId w:val="13"/>
              </w:numPr>
              <w:ind w:firstLineChars="0"/>
              <w:rPr>
                <w:rFonts w:ascii="Times New Roman" w:hAnsi="Times New Roman"/>
                <w:szCs w:val="21"/>
              </w:rPr>
            </w:pPr>
          </w:p>
        </w:tc>
        <w:tc>
          <w:tcPr>
            <w:tcW w:w="9253" w:type="dxa"/>
            <w:gridSpan w:val="2"/>
            <w:shd w:val="clear" w:color="auto" w:fill="D9D9D9"/>
            <w:vAlign w:val="center"/>
          </w:tcPr>
          <w:p>
            <w:pPr>
              <w:jc w:val="both"/>
              <w:rPr>
                <w:szCs w:val="21"/>
              </w:rPr>
            </w:pPr>
            <w:r>
              <w:rPr>
                <w:szCs w:val="21"/>
                <w:lang w:eastAsia="zh-CN"/>
              </w:rPr>
              <w:t>计算机化系统要求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29" w:edGrp="everyone"/>
          </w:p>
        </w:tc>
        <w:tc>
          <w:tcPr>
            <w:tcW w:w="7128" w:type="dxa"/>
            <w:shd w:val="clear" w:color="auto" w:fill="auto"/>
            <w:vAlign w:val="center"/>
          </w:tcPr>
          <w:p>
            <w:pPr>
              <w:pStyle w:val="7"/>
              <w:spacing w:after="0" w:line="276" w:lineRule="auto"/>
              <w:rPr>
                <w:szCs w:val="21"/>
                <w:lang w:eastAsia="zh-CN"/>
              </w:rPr>
            </w:pPr>
            <w:r>
              <w:rPr>
                <w:rFonts w:hint="eastAsia" w:ascii="宋体" w:hAnsi="宋体"/>
                <w:sz w:val="21"/>
                <w:szCs w:val="21"/>
                <w:lang w:eastAsia="zh-CN"/>
              </w:rPr>
              <w:t>该电热恒温净化灭菌箱计算机化系统至少三级用户分层权限管理及密码管理的功能</w:t>
            </w:r>
          </w:p>
        </w:tc>
        <w:tc>
          <w:tcPr>
            <w:tcW w:w="2125" w:type="dxa"/>
            <w:shd w:val="clear" w:color="auto" w:fill="auto"/>
            <w:vAlign w:val="center"/>
          </w:tcPr>
          <w:p>
            <w:pPr>
              <w:jc w:val="center"/>
              <w:rPr>
                <w:szCs w:val="21"/>
                <w:lang w:eastAsia="zh-CN"/>
              </w:rPr>
            </w:pPr>
            <w:r>
              <w:rPr>
                <w:rFonts w:hint="eastAsia" w:ascii="宋体" w:hAnsi="宋体" w:cs="Arial"/>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after="0" w:line="276" w:lineRule="auto"/>
              <w:rPr>
                <w:rFonts w:ascii="宋体" w:cs="Arial"/>
                <w:color w:val="FF0000"/>
                <w:sz w:val="21"/>
                <w:szCs w:val="21"/>
                <w:lang w:eastAsia="zh-CN"/>
              </w:rPr>
            </w:pPr>
            <w:r>
              <w:rPr>
                <w:rFonts w:hint="eastAsia" w:ascii="宋体" w:hAnsi="宋体"/>
                <w:sz w:val="21"/>
                <w:szCs w:val="21"/>
                <w:lang w:eastAsia="zh-CN"/>
              </w:rPr>
              <w:t>需要设置账户分级管理，</w:t>
            </w:r>
            <w:r>
              <w:rPr>
                <w:rFonts w:hint="eastAsia" w:ascii="宋体" w:hAnsi="宋体"/>
                <w:color w:val="000000" w:themeColor="text1"/>
                <w:sz w:val="21"/>
                <w:szCs w:val="21"/>
                <w:lang w:eastAsia="zh-CN"/>
              </w:rPr>
              <w:t>三级用</w:t>
            </w:r>
            <w:r>
              <w:rPr>
                <w:rFonts w:hint="eastAsia" w:ascii="宋体" w:hAnsi="宋体"/>
                <w:sz w:val="21"/>
                <w:szCs w:val="21"/>
                <w:lang w:eastAsia="zh-CN"/>
              </w:rPr>
              <w:t>户分别为：管理员，工艺员，操作员，每级权限下可设置多个用户账户，每个账户可设置对应的登陆用户名及密码；操作员权限仅能进行灭菌模式的选取，不能修改温度、时间等参数，工艺员增加温度、时间等的设置权限；管理员再增加对探头的校验调整、取消门互锁等维修的权限。</w:t>
            </w:r>
          </w:p>
        </w:tc>
        <w:tc>
          <w:tcPr>
            <w:tcW w:w="2125" w:type="dxa"/>
            <w:shd w:val="clear" w:color="auto" w:fill="auto"/>
            <w:vAlign w:val="center"/>
          </w:tcPr>
          <w:p>
            <w:pPr>
              <w:jc w:val="center"/>
              <w:rPr>
                <w:rFonts w:ascii="宋体" w:cs="Arial"/>
                <w:sz w:val="24"/>
                <w:lang w:eastAsia="zh-CN"/>
              </w:rPr>
            </w:pPr>
            <w:r>
              <w:rPr>
                <w:rFonts w:hint="eastAsia" w:ascii="宋体" w:hAnsi="宋体" w:cs="Arial"/>
                <w:szCs w:val="21"/>
                <w:lang w:eastAsia="zh-CN"/>
              </w:rPr>
              <w:t>关键</w:t>
            </w: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after="0" w:line="276" w:lineRule="auto"/>
              <w:rPr>
                <w:rFonts w:ascii="宋体" w:hAnsi="宋体"/>
                <w:sz w:val="21"/>
                <w:szCs w:val="21"/>
                <w:lang w:eastAsia="zh-CN"/>
              </w:rPr>
            </w:pPr>
            <w:r>
              <w:rPr>
                <w:rFonts w:hint="eastAsia" w:ascii="宋体" w:hAnsi="宋体"/>
                <w:sz w:val="21"/>
                <w:szCs w:val="21"/>
                <w:lang w:eastAsia="zh-CN"/>
              </w:rPr>
              <w:t>具备超时强制自动锁屏</w:t>
            </w:r>
            <w:r>
              <w:rPr>
                <w:rFonts w:ascii="宋体" w:hAnsi="宋体"/>
                <w:sz w:val="21"/>
                <w:szCs w:val="21"/>
                <w:lang w:eastAsia="zh-CN"/>
              </w:rPr>
              <w:t>/</w:t>
            </w:r>
            <w:r>
              <w:rPr>
                <w:rFonts w:hint="eastAsia" w:ascii="宋体" w:hAnsi="宋体"/>
                <w:sz w:val="21"/>
                <w:szCs w:val="21"/>
                <w:lang w:eastAsia="zh-CN"/>
              </w:rPr>
              <w:t>退出时限设置功能，再次使用需重新登录。</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after="0" w:line="276" w:lineRule="auto"/>
              <w:rPr>
                <w:rFonts w:ascii="宋体" w:hAnsi="宋体"/>
                <w:sz w:val="21"/>
                <w:szCs w:val="21"/>
                <w:lang w:eastAsia="zh-CN"/>
              </w:rPr>
            </w:pPr>
            <w:r>
              <w:rPr>
                <w:rFonts w:hint="eastAsia" w:ascii="宋体" w:hAnsi="宋体"/>
                <w:sz w:val="21"/>
                <w:szCs w:val="21"/>
                <w:lang w:eastAsia="zh-CN"/>
              </w:rPr>
              <w:t>每个用户创建唯一的用户名和密码。</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after="0" w:line="276" w:lineRule="auto"/>
              <w:rPr>
                <w:rFonts w:ascii="宋体" w:hAnsi="宋体"/>
                <w:sz w:val="21"/>
                <w:szCs w:val="21"/>
                <w:lang w:eastAsia="zh-CN"/>
              </w:rPr>
            </w:pPr>
            <w:r>
              <w:rPr>
                <w:rFonts w:hint="eastAsia" w:ascii="宋体" w:hAnsi="宋体"/>
                <w:sz w:val="21"/>
                <w:szCs w:val="21"/>
                <w:lang w:eastAsia="zh-CN"/>
              </w:rPr>
              <w:t>应有权限功能防止系统时间被更改。</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after="0" w:line="276" w:lineRule="auto"/>
              <w:rPr>
                <w:rFonts w:ascii="宋体" w:hAnsi="宋体"/>
                <w:sz w:val="21"/>
                <w:szCs w:val="21"/>
                <w:lang w:eastAsia="zh-CN"/>
              </w:rPr>
            </w:pPr>
            <w:r>
              <w:rPr>
                <w:rFonts w:hint="eastAsia" w:ascii="宋体" w:hAnsi="宋体"/>
                <w:sz w:val="21"/>
                <w:szCs w:val="21"/>
                <w:lang w:eastAsia="zh-CN"/>
              </w:rPr>
              <w:t>屏幕显示的结果、存储的电子记录与打印纸质文档应是一致的。</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after="0" w:line="276" w:lineRule="auto"/>
              <w:rPr>
                <w:rFonts w:ascii="宋体" w:hAnsi="宋体"/>
                <w:sz w:val="21"/>
                <w:szCs w:val="21"/>
                <w:lang w:eastAsia="zh-CN"/>
              </w:rPr>
            </w:pPr>
            <w:r>
              <w:rPr>
                <w:rFonts w:hint="eastAsia" w:ascii="宋体" w:hAnsi="宋体"/>
                <w:sz w:val="21"/>
                <w:szCs w:val="21"/>
                <w:lang w:eastAsia="zh-CN"/>
              </w:rPr>
              <w:t>用户在密码输入时，电脑显示器上应不显示实际密码（比如密码会以</w:t>
            </w:r>
            <w:r>
              <w:rPr>
                <w:rFonts w:ascii="宋体" w:hAnsi="宋体"/>
                <w:sz w:val="21"/>
                <w:szCs w:val="21"/>
                <w:lang w:eastAsia="zh-CN"/>
              </w:rPr>
              <w:t>*</w:t>
            </w:r>
            <w:r>
              <w:rPr>
                <w:rFonts w:hint="eastAsia" w:ascii="宋体" w:hAnsi="宋体"/>
                <w:sz w:val="21"/>
                <w:szCs w:val="21"/>
                <w:lang w:eastAsia="zh-CN"/>
              </w:rPr>
              <w:t>或其他符合显示）。</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after="0" w:line="276" w:lineRule="auto"/>
              <w:rPr>
                <w:rFonts w:ascii="宋体" w:hAnsi="宋体"/>
                <w:sz w:val="21"/>
                <w:szCs w:val="21"/>
                <w:lang w:eastAsia="zh-CN"/>
              </w:rPr>
            </w:pPr>
            <w:r>
              <w:rPr>
                <w:rFonts w:hint="eastAsia" w:ascii="宋体" w:hAnsi="宋体"/>
                <w:sz w:val="21"/>
                <w:szCs w:val="21"/>
                <w:lang w:eastAsia="zh-CN"/>
              </w:rPr>
              <w:t>系统应可以设置密码最小长度为</w:t>
            </w:r>
            <w:r>
              <w:rPr>
                <w:rFonts w:ascii="宋体" w:hAnsi="宋体"/>
                <w:sz w:val="21"/>
                <w:szCs w:val="21"/>
                <w:lang w:eastAsia="zh-CN"/>
              </w:rPr>
              <w:t>8</w:t>
            </w:r>
            <w:r>
              <w:rPr>
                <w:rFonts w:hint="eastAsia" w:ascii="宋体" w:hAnsi="宋体"/>
                <w:sz w:val="21"/>
                <w:szCs w:val="21"/>
                <w:lang w:eastAsia="zh-CN"/>
              </w:rPr>
              <w:t>位。</w:t>
            </w:r>
          </w:p>
        </w:tc>
        <w:tc>
          <w:tcPr>
            <w:tcW w:w="2125" w:type="dxa"/>
            <w:shd w:val="clear" w:color="auto" w:fill="auto"/>
            <w:vAlign w:val="center"/>
          </w:tcPr>
          <w:p>
            <w:pPr>
              <w:jc w:val="center"/>
              <w:rPr>
                <w:szCs w:val="21"/>
                <w:lang w:eastAsia="zh-CN"/>
              </w:rPr>
            </w:pPr>
            <w:r>
              <w:rPr>
                <w:rFonts w:hint="eastAsia"/>
                <w:szCs w:val="21"/>
                <w:lang w:eastAsia="zh-CN"/>
              </w:rPr>
              <w:t>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after="0" w:line="276" w:lineRule="auto"/>
              <w:rPr>
                <w:rFonts w:ascii="宋体" w:hAnsi="宋体"/>
                <w:sz w:val="21"/>
                <w:szCs w:val="21"/>
                <w:lang w:eastAsia="zh-CN"/>
              </w:rPr>
            </w:pPr>
            <w:r>
              <w:rPr>
                <w:rFonts w:hint="eastAsia" w:ascii="宋体" w:hAnsi="宋体"/>
                <w:sz w:val="21"/>
                <w:szCs w:val="21"/>
                <w:lang w:eastAsia="zh-CN"/>
              </w:rPr>
              <w:t>系统应允许管理员更改自己的密码和下级权限的密码，其他权限人员仅可更改自己的密码。</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after="0" w:line="276" w:lineRule="auto"/>
              <w:rPr>
                <w:rFonts w:ascii="宋体" w:hAnsi="宋体"/>
                <w:sz w:val="21"/>
                <w:szCs w:val="21"/>
                <w:lang w:eastAsia="zh-CN"/>
              </w:rPr>
            </w:pPr>
            <w:r>
              <w:rPr>
                <w:rFonts w:hint="eastAsia" w:ascii="宋体" w:hAnsi="宋体"/>
                <w:sz w:val="21"/>
                <w:szCs w:val="21"/>
                <w:lang w:eastAsia="zh-CN"/>
              </w:rPr>
              <w:t>应有安全保护以防止未授权的用户账号和密码进行使用，比如5次无效登录尝试后将锁定账户等，系统管理员应可以激活锁住的账户。</w:t>
            </w:r>
          </w:p>
        </w:tc>
        <w:tc>
          <w:tcPr>
            <w:tcW w:w="2125" w:type="dxa"/>
            <w:shd w:val="clear" w:color="auto" w:fill="auto"/>
            <w:vAlign w:val="center"/>
          </w:tcPr>
          <w:p>
            <w:pPr>
              <w:jc w:val="center"/>
              <w:rPr>
                <w:color w:val="000000" w:themeColor="text1"/>
                <w:szCs w:val="21"/>
                <w:lang w:eastAsia="zh-CN"/>
              </w:rPr>
            </w:pPr>
            <w:r>
              <w:rPr>
                <w:rFonts w:hint="eastAsia"/>
                <w:color w:val="000000" w:themeColor="text1"/>
                <w:szCs w:val="21"/>
                <w:lang w:eastAsia="zh-CN"/>
              </w:rPr>
              <w:t>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after="0" w:line="276" w:lineRule="auto"/>
              <w:rPr>
                <w:rFonts w:ascii="宋体" w:hAnsi="宋体"/>
                <w:sz w:val="21"/>
                <w:szCs w:val="21"/>
                <w:lang w:eastAsia="zh-CN"/>
              </w:rPr>
            </w:pPr>
            <w:r>
              <w:rPr>
                <w:rFonts w:hint="eastAsia" w:ascii="宋体" w:hAnsi="宋体"/>
                <w:sz w:val="21"/>
                <w:szCs w:val="21"/>
                <w:lang w:eastAsia="zh-CN"/>
              </w:rPr>
              <w:t>系统应可设置密码效期，如3个月。</w:t>
            </w:r>
          </w:p>
        </w:tc>
        <w:tc>
          <w:tcPr>
            <w:tcW w:w="2125" w:type="dxa"/>
            <w:shd w:val="clear" w:color="auto" w:fill="auto"/>
            <w:vAlign w:val="center"/>
          </w:tcPr>
          <w:p>
            <w:pPr>
              <w:jc w:val="center"/>
              <w:rPr>
                <w:color w:val="000000" w:themeColor="text1"/>
                <w:szCs w:val="21"/>
                <w:lang w:eastAsia="zh-CN"/>
              </w:rPr>
            </w:pPr>
            <w:r>
              <w:rPr>
                <w:rFonts w:hint="eastAsia"/>
                <w:color w:val="000000" w:themeColor="text1"/>
                <w:szCs w:val="21"/>
                <w:lang w:eastAsia="zh-CN"/>
              </w:rPr>
              <w:t>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after="0" w:line="276" w:lineRule="auto"/>
              <w:rPr>
                <w:rFonts w:ascii="宋体" w:hAnsi="宋体"/>
                <w:sz w:val="21"/>
                <w:szCs w:val="21"/>
                <w:lang w:eastAsia="zh-CN"/>
              </w:rPr>
            </w:pPr>
            <w:r>
              <w:rPr>
                <w:rFonts w:hint="eastAsia" w:ascii="宋体" w:hAnsi="宋体"/>
                <w:sz w:val="21"/>
                <w:szCs w:val="21"/>
                <w:lang w:eastAsia="zh-CN"/>
              </w:rPr>
              <w:t>系统应可提示密码效期信息以提醒用户更改密码。</w:t>
            </w:r>
          </w:p>
        </w:tc>
        <w:tc>
          <w:tcPr>
            <w:tcW w:w="2125" w:type="dxa"/>
            <w:shd w:val="clear" w:color="auto" w:fill="auto"/>
            <w:vAlign w:val="center"/>
          </w:tcPr>
          <w:p>
            <w:pPr>
              <w:jc w:val="center"/>
              <w:rPr>
                <w:szCs w:val="21"/>
                <w:lang w:eastAsia="zh-CN"/>
              </w:rPr>
            </w:pPr>
            <w:r>
              <w:rPr>
                <w:rFonts w:hint="eastAsia"/>
                <w:szCs w:val="21"/>
                <w:lang w:eastAsia="zh-CN"/>
              </w:rPr>
              <w:t>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after="0" w:line="276" w:lineRule="auto"/>
              <w:rPr>
                <w:rFonts w:ascii="宋体" w:hAnsi="宋体"/>
                <w:sz w:val="21"/>
                <w:szCs w:val="21"/>
                <w:lang w:eastAsia="zh-CN"/>
              </w:rPr>
            </w:pPr>
            <w:r>
              <w:rPr>
                <w:rFonts w:hint="eastAsia" w:ascii="宋体" w:hAnsi="宋体"/>
                <w:sz w:val="21"/>
                <w:szCs w:val="21"/>
                <w:lang w:eastAsia="zh-CN"/>
              </w:rPr>
              <w:t>可存储电子数据和曲线，原始电子数据和曲线不可修改，可查询、输出、备份恢复、打印。数据自动存储时间间隔至少为1分钟记录1次。</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after="0" w:line="276" w:lineRule="auto"/>
              <w:rPr>
                <w:rFonts w:ascii="宋体" w:hAnsi="宋体"/>
                <w:sz w:val="21"/>
                <w:szCs w:val="21"/>
                <w:lang w:eastAsia="zh-CN"/>
              </w:rPr>
            </w:pPr>
            <w:r>
              <w:rPr>
                <w:rFonts w:hint="eastAsia" w:ascii="宋体" w:hAnsi="宋体"/>
                <w:sz w:val="21"/>
                <w:szCs w:val="21"/>
                <w:lang w:eastAsia="zh-CN"/>
              </w:rPr>
              <w:t>系统具备报警功能，可由管理员设置报警参数，可自动存储报警记录，报警记录不可修改，可查询、输出、备份恢复、打印。</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after="0" w:line="276" w:lineRule="auto"/>
              <w:rPr>
                <w:rFonts w:ascii="宋体" w:hAnsi="宋体"/>
                <w:sz w:val="21"/>
                <w:szCs w:val="21"/>
                <w:lang w:eastAsia="zh-CN"/>
              </w:rPr>
            </w:pPr>
            <w:r>
              <w:rPr>
                <w:rFonts w:ascii="宋体" w:hAnsi="宋体"/>
                <w:sz w:val="21"/>
                <w:szCs w:val="21"/>
                <w:lang w:eastAsia="zh-CN"/>
              </w:rPr>
              <w:t>系统应有审计追踪功能，可以记录系统和安全的事件，比如登录登出、密码更改、方法参数更改、记录删除</w:t>
            </w:r>
            <w:r>
              <w:rPr>
                <w:rFonts w:hint="eastAsia" w:ascii="宋体" w:hAnsi="宋体"/>
                <w:sz w:val="21"/>
                <w:szCs w:val="21"/>
                <w:lang w:eastAsia="zh-CN"/>
              </w:rPr>
              <w:t>更改、权限管理，</w:t>
            </w:r>
            <w:r>
              <w:rPr>
                <w:rFonts w:ascii="宋体" w:hAnsi="宋体"/>
                <w:sz w:val="21"/>
                <w:szCs w:val="21"/>
                <w:lang w:eastAsia="zh-CN"/>
              </w:rPr>
              <w:t>及</w:t>
            </w:r>
            <w:r>
              <w:rPr>
                <w:rFonts w:hint="eastAsia" w:ascii="宋体" w:hAnsi="宋体"/>
                <w:sz w:val="21"/>
                <w:szCs w:val="21"/>
                <w:lang w:eastAsia="zh-CN"/>
              </w:rPr>
              <w:t>其</w:t>
            </w:r>
            <w:r>
              <w:rPr>
                <w:rFonts w:ascii="宋体" w:hAnsi="宋体"/>
                <w:sz w:val="21"/>
                <w:szCs w:val="21"/>
                <w:lang w:eastAsia="zh-CN"/>
              </w:rPr>
              <w:t>操作</w:t>
            </w:r>
            <w:r>
              <w:rPr>
                <w:rFonts w:hint="eastAsia" w:ascii="宋体" w:hAnsi="宋体"/>
                <w:sz w:val="21"/>
                <w:szCs w:val="21"/>
                <w:lang w:eastAsia="zh-CN"/>
              </w:rPr>
              <w:t>者、</w:t>
            </w:r>
            <w:r>
              <w:rPr>
                <w:rFonts w:ascii="宋体" w:hAnsi="宋体"/>
                <w:sz w:val="21"/>
                <w:szCs w:val="21"/>
                <w:lang w:eastAsia="zh-CN"/>
              </w:rPr>
              <w:t>日期时间</w:t>
            </w:r>
            <w:r>
              <w:rPr>
                <w:rFonts w:hint="eastAsia" w:ascii="宋体" w:hAnsi="宋体"/>
                <w:sz w:val="21"/>
                <w:szCs w:val="21"/>
                <w:lang w:eastAsia="zh-CN"/>
              </w:rPr>
              <w:t>、操作描述与结果、必要的原因</w:t>
            </w:r>
            <w:r>
              <w:rPr>
                <w:rFonts w:ascii="宋体" w:hAnsi="宋体"/>
                <w:sz w:val="21"/>
                <w:szCs w:val="21"/>
                <w:lang w:eastAsia="zh-CN"/>
              </w:rPr>
              <w:t>等</w:t>
            </w:r>
            <w:r>
              <w:rPr>
                <w:rFonts w:hint="eastAsia" w:ascii="宋体" w:hAnsi="宋体"/>
                <w:sz w:val="21"/>
                <w:szCs w:val="21"/>
                <w:lang w:eastAsia="zh-CN"/>
              </w:rPr>
              <w:t>. 确保关键操作追溯到人。审计追踪记录应不可被更改和删除，可查询、输出、备份恢复、打印。</w:t>
            </w:r>
          </w:p>
        </w:tc>
        <w:tc>
          <w:tcPr>
            <w:tcW w:w="2125" w:type="dxa"/>
            <w:shd w:val="clear" w:color="auto" w:fill="auto"/>
            <w:vAlign w:val="center"/>
          </w:tcPr>
          <w:p>
            <w:pPr>
              <w:jc w:val="center"/>
              <w:rPr>
                <w:rFonts w:ascii="宋体" w:hAnsi="宋体" w:cs="Arial"/>
                <w:sz w:val="24"/>
                <w:szCs w:val="16"/>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after="0" w:line="276" w:lineRule="auto"/>
              <w:rPr>
                <w:rFonts w:ascii="宋体" w:hAnsi="宋体"/>
                <w:sz w:val="21"/>
                <w:szCs w:val="21"/>
                <w:lang w:eastAsia="zh-CN"/>
              </w:rPr>
            </w:pPr>
            <w:r>
              <w:rPr>
                <w:rFonts w:hint="eastAsia" w:ascii="宋体" w:hAnsi="宋体"/>
                <w:sz w:val="21"/>
                <w:szCs w:val="21"/>
                <w:lang w:eastAsia="zh-CN"/>
              </w:rPr>
              <w:t>可实时打印灭菌数据和曲线，打印内容应包含以下内容：日期，名称，运行时间，产品名称，运行次数号（自动生成不可更改），必要的设置、灭菌数据等。</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after="0" w:line="276" w:lineRule="auto"/>
              <w:rPr>
                <w:rFonts w:ascii="宋体" w:hAnsi="宋体"/>
                <w:sz w:val="21"/>
                <w:szCs w:val="21"/>
                <w:lang w:eastAsia="zh-CN"/>
              </w:rPr>
            </w:pPr>
            <w:r>
              <w:rPr>
                <w:rFonts w:hint="eastAsia" w:ascii="宋体" w:hAnsi="宋体"/>
                <w:sz w:val="21"/>
                <w:szCs w:val="21"/>
                <w:lang w:eastAsia="zh-CN"/>
              </w:rPr>
              <w:t>原始电子记录应为不可修改的只读格式。</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after="0" w:line="276" w:lineRule="auto"/>
              <w:rPr>
                <w:rFonts w:ascii="宋体" w:hAnsi="宋体"/>
                <w:sz w:val="21"/>
                <w:szCs w:val="21"/>
                <w:lang w:eastAsia="zh-CN"/>
              </w:rPr>
            </w:pPr>
            <w:r>
              <w:rPr>
                <w:rFonts w:hint="eastAsia" w:ascii="宋体" w:hAnsi="宋体"/>
                <w:sz w:val="21"/>
                <w:szCs w:val="21"/>
                <w:lang w:eastAsia="zh-CN"/>
              </w:rPr>
              <w:t>使用者应不能修改记录结果。</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after="0" w:line="276" w:lineRule="auto"/>
              <w:rPr>
                <w:rFonts w:ascii="宋体" w:hAnsi="宋体"/>
                <w:sz w:val="21"/>
                <w:szCs w:val="21"/>
                <w:lang w:eastAsia="zh-CN"/>
              </w:rPr>
            </w:pPr>
            <w:r>
              <w:rPr>
                <w:rFonts w:hint="eastAsia" w:ascii="宋体" w:hAnsi="宋体"/>
                <w:sz w:val="21"/>
                <w:szCs w:val="21"/>
                <w:lang w:eastAsia="zh-CN"/>
              </w:rPr>
              <w:t>系统时间应准确同步，与标准时间偏差≤±</w:t>
            </w:r>
            <w:r>
              <w:rPr>
                <w:rFonts w:ascii="宋体" w:hAnsi="宋体"/>
                <w:sz w:val="21"/>
                <w:szCs w:val="21"/>
                <w:lang w:eastAsia="zh-CN"/>
              </w:rPr>
              <w:t>5</w:t>
            </w:r>
            <w:r>
              <w:rPr>
                <w:rFonts w:hint="eastAsia" w:ascii="宋体" w:hAnsi="宋体"/>
                <w:sz w:val="21"/>
                <w:szCs w:val="21"/>
                <w:lang w:eastAsia="zh-CN"/>
              </w:rPr>
              <w:t>s/2</w:t>
            </w:r>
            <w:r>
              <w:rPr>
                <w:rFonts w:ascii="宋体" w:hAnsi="宋体"/>
                <w:sz w:val="21"/>
                <w:szCs w:val="21"/>
                <w:lang w:eastAsia="zh-CN"/>
              </w:rPr>
              <w:t>4h</w:t>
            </w:r>
            <w:r>
              <w:rPr>
                <w:rFonts w:hint="eastAsia" w:ascii="宋体" w:hAnsi="宋体"/>
                <w:sz w:val="21"/>
                <w:szCs w:val="21"/>
                <w:lang w:eastAsia="zh-CN"/>
              </w:rPr>
              <w:t>。</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after="0" w:line="276" w:lineRule="auto"/>
              <w:rPr>
                <w:rFonts w:ascii="宋体" w:hAnsi="宋体"/>
                <w:sz w:val="21"/>
                <w:szCs w:val="21"/>
                <w:lang w:eastAsia="zh-CN"/>
              </w:rPr>
            </w:pPr>
            <w:r>
              <w:rPr>
                <w:rFonts w:hint="eastAsia" w:ascii="宋体" w:hAnsi="宋体"/>
                <w:sz w:val="21"/>
                <w:szCs w:val="21"/>
                <w:lang w:eastAsia="zh-CN"/>
              </w:rPr>
              <w:t>断电恢复不影响参数设置、数据完整性、系统运行。</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after="0" w:line="276" w:lineRule="auto"/>
              <w:rPr>
                <w:rFonts w:ascii="宋体" w:hAnsi="宋体"/>
                <w:sz w:val="21"/>
                <w:szCs w:val="21"/>
                <w:lang w:eastAsia="zh-CN"/>
              </w:rPr>
            </w:pPr>
            <w:r>
              <w:rPr>
                <w:rFonts w:hint="eastAsia" w:ascii="宋体" w:hAnsi="宋体"/>
                <w:sz w:val="21"/>
                <w:szCs w:val="21"/>
                <w:lang w:eastAsia="zh-CN"/>
              </w:rPr>
              <w:t>厂家提供系统及程序备份策略。</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after="0" w:line="276" w:lineRule="auto"/>
              <w:rPr>
                <w:rFonts w:ascii="宋体" w:hAnsi="宋体"/>
                <w:sz w:val="21"/>
                <w:szCs w:val="21"/>
                <w:lang w:eastAsia="zh-CN"/>
              </w:rPr>
            </w:pPr>
            <w:r>
              <w:rPr>
                <w:rFonts w:hint="eastAsia" w:ascii="宋体" w:hAnsi="宋体"/>
                <w:sz w:val="21"/>
                <w:szCs w:val="21"/>
                <w:lang w:eastAsia="zh-CN"/>
              </w:rPr>
              <w:t>系统和程序为正版。</w:t>
            </w:r>
          </w:p>
        </w:tc>
        <w:tc>
          <w:tcPr>
            <w:tcW w:w="2125" w:type="dxa"/>
            <w:shd w:val="clear" w:color="auto" w:fill="auto"/>
            <w:vAlign w:val="center"/>
          </w:tcPr>
          <w:p>
            <w:pPr>
              <w:jc w:val="center"/>
              <w:rPr>
                <w:rFonts w:ascii="宋体" w:hAnsi="宋体" w:cs="Arial"/>
                <w:sz w:val="24"/>
                <w:szCs w:val="16"/>
                <w:lang w:eastAsia="zh-CN"/>
              </w:rPr>
            </w:pPr>
            <w:r>
              <w:rPr>
                <w:rFonts w:hint="eastAsia" w:ascii="宋体" w:hAnsi="宋体" w:cs="Arial"/>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after="0" w:line="276" w:lineRule="auto"/>
              <w:rPr>
                <w:rFonts w:ascii="宋体" w:hAnsi="宋体"/>
                <w:sz w:val="21"/>
                <w:szCs w:val="21"/>
                <w:lang w:eastAsia="zh-CN"/>
              </w:rPr>
            </w:pPr>
            <w:r>
              <w:rPr>
                <w:rFonts w:hint="eastAsia" w:ascii="宋体" w:hAnsi="宋体"/>
                <w:sz w:val="21"/>
                <w:szCs w:val="21"/>
                <w:lang w:eastAsia="zh-CN"/>
              </w:rPr>
              <w:t>厂家提供备份的电子记录读取策略，必要时提供电子记录读取软件，该软件为正版，具备读取、查询、打印功能，不具备编辑功能，且可识别对电子记录的更改。</w:t>
            </w:r>
          </w:p>
        </w:tc>
        <w:tc>
          <w:tcPr>
            <w:tcW w:w="2125" w:type="dxa"/>
            <w:shd w:val="clear" w:color="auto" w:fill="auto"/>
            <w:vAlign w:val="center"/>
          </w:tcPr>
          <w:p>
            <w:pPr>
              <w:jc w:val="center"/>
              <w:rPr>
                <w:rFonts w:ascii="宋体" w:hAnsi="宋体" w:cs="Arial"/>
                <w:sz w:val="24"/>
                <w:szCs w:val="16"/>
                <w:lang w:eastAsia="zh-CN"/>
              </w:rPr>
            </w:pPr>
            <w:r>
              <w:rPr>
                <w:rFonts w:hint="eastAsia" w:ascii="宋体" w:hAnsi="宋体" w:cs="Arial"/>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after="0" w:line="276" w:lineRule="auto"/>
              <w:rPr>
                <w:rFonts w:ascii="宋体" w:hAnsi="宋体"/>
                <w:sz w:val="21"/>
                <w:szCs w:val="21"/>
                <w:lang w:eastAsia="zh-CN"/>
              </w:rPr>
            </w:pPr>
            <w:r>
              <w:rPr>
                <w:rFonts w:hint="eastAsia" w:ascii="宋体" w:hAnsi="宋体"/>
                <w:sz w:val="21"/>
                <w:szCs w:val="21"/>
                <w:lang w:eastAsia="zh-CN"/>
              </w:rPr>
              <w:t>设备生命周期内供应商应能够免费升级软件，软件系统可根据将来设备需要进行升级、更新。</w:t>
            </w:r>
          </w:p>
        </w:tc>
        <w:tc>
          <w:tcPr>
            <w:tcW w:w="2125" w:type="dxa"/>
            <w:shd w:val="clear" w:color="auto" w:fill="auto"/>
            <w:vAlign w:val="center"/>
          </w:tcPr>
          <w:p>
            <w:pPr>
              <w:jc w:val="center"/>
              <w:rPr>
                <w:rFonts w:ascii="宋体" w:hAnsi="宋体" w:cs="Arial"/>
                <w:szCs w:val="21"/>
                <w:lang w:eastAsia="zh-CN"/>
              </w:rPr>
            </w:pPr>
            <w:r>
              <w:rPr>
                <w:rFonts w:hint="eastAsia" w:ascii="宋体" w:hAnsi="宋体" w:cs="Arial"/>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after="0" w:line="276" w:lineRule="auto"/>
              <w:rPr>
                <w:rFonts w:ascii="宋体" w:hAnsi="宋体"/>
                <w:sz w:val="21"/>
                <w:szCs w:val="21"/>
                <w:lang w:eastAsia="zh-CN"/>
              </w:rPr>
            </w:pPr>
            <w:r>
              <w:rPr>
                <w:rFonts w:hint="eastAsia" w:ascii="宋体" w:hAnsi="宋体"/>
                <w:sz w:val="21"/>
                <w:szCs w:val="21"/>
                <w:lang w:eastAsia="zh-CN"/>
              </w:rPr>
              <w:t>备份、恢复的电子记录应与原始电子记录一致，供应商提供一致性确认策略</w:t>
            </w:r>
          </w:p>
        </w:tc>
        <w:tc>
          <w:tcPr>
            <w:tcW w:w="2125" w:type="dxa"/>
            <w:shd w:val="clear" w:color="auto" w:fill="auto"/>
            <w:vAlign w:val="center"/>
          </w:tcPr>
          <w:p>
            <w:pPr>
              <w:jc w:val="center"/>
              <w:rPr>
                <w:rFonts w:ascii="宋体" w:hAnsi="宋体" w:cs="Arial"/>
                <w:szCs w:val="21"/>
                <w:lang w:eastAsia="zh-CN"/>
              </w:rPr>
            </w:pPr>
            <w:r>
              <w:rPr>
                <w:rFonts w:hint="eastAsia" w:ascii="宋体" w:hAnsi="宋体" w:cs="Arial"/>
                <w:szCs w:val="21"/>
                <w:lang w:eastAsia="zh-CN"/>
              </w:rPr>
              <w:t>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after="0" w:line="276" w:lineRule="auto"/>
              <w:rPr>
                <w:rFonts w:ascii="宋体" w:hAnsi="宋体"/>
                <w:sz w:val="21"/>
                <w:szCs w:val="21"/>
                <w:lang w:val="en-US" w:eastAsia="zh-CN"/>
              </w:rPr>
            </w:pPr>
            <w:r>
              <w:rPr>
                <w:rFonts w:hint="eastAsia" w:ascii="宋体" w:hAnsi="宋体"/>
                <w:sz w:val="21"/>
                <w:szCs w:val="21"/>
                <w:lang w:eastAsia="zh-CN"/>
              </w:rPr>
              <w:t>关键参数设置由管理员控制。</w:t>
            </w:r>
          </w:p>
        </w:tc>
        <w:tc>
          <w:tcPr>
            <w:tcW w:w="2125" w:type="dxa"/>
            <w:shd w:val="clear" w:color="auto" w:fill="auto"/>
            <w:vAlign w:val="center"/>
          </w:tcPr>
          <w:p>
            <w:pPr>
              <w:jc w:val="center"/>
              <w:rPr>
                <w:rFonts w:ascii="宋体" w:hAnsi="宋体" w:cs="Arial"/>
                <w:szCs w:val="21"/>
                <w:lang w:eastAsia="zh-CN"/>
              </w:rPr>
            </w:pPr>
            <w:r>
              <w:rPr>
                <w:rFonts w:hint="eastAsia" w:ascii="宋体" w:hAnsi="宋体" w:cs="Arial"/>
                <w:szCs w:val="21"/>
                <w:lang w:eastAsia="zh-CN"/>
              </w:rPr>
              <w:t>关键</w:t>
            </w:r>
          </w:p>
        </w:tc>
      </w:tr>
      <w:permEnd w:id="29"/>
    </w:tbl>
    <w:p>
      <w:pPr>
        <w:spacing w:after="158" w:afterLines="50"/>
        <w:rPr>
          <w:b/>
          <w:lang w:eastAsia="zh-CN"/>
        </w:rPr>
      </w:pPr>
    </w:p>
    <w:p>
      <w:pPr>
        <w:pStyle w:val="31"/>
        <w:numPr>
          <w:ilvl w:val="0"/>
          <w:numId w:val="3"/>
        </w:numPr>
        <w:spacing w:after="158" w:afterLines="50"/>
        <w:ind w:left="426" w:hanging="426" w:hangingChars="202"/>
        <w:outlineLvl w:val="0"/>
        <w:rPr>
          <w:rFonts w:ascii="Times New Roman" w:hAnsi="Times New Roman"/>
          <w:b/>
        </w:rPr>
      </w:pPr>
      <w:bookmarkStart w:id="41" w:name="_Toc522716123"/>
      <w:r>
        <w:rPr>
          <w:rFonts w:ascii="Times New Roman" w:hAnsi="Times New Roman"/>
          <w:b/>
        </w:rPr>
        <w:t>安全要求</w:t>
      </w:r>
      <w:bookmarkEnd w:id="28"/>
      <w:bookmarkEnd w:id="41"/>
    </w:p>
    <w:p>
      <w:pPr>
        <w:pStyle w:val="41"/>
        <w:spacing w:before="0" w:line="360" w:lineRule="auto"/>
        <w:ind w:left="357"/>
        <w:jc w:val="left"/>
        <w:rPr>
          <w:i/>
          <w:color w:val="4472C4"/>
          <w:szCs w:val="21"/>
          <w:lang w:eastAsia="zh-CN"/>
        </w:rPr>
      </w:pPr>
      <w:permStart w:id="30" w:edGrp="everyone"/>
    </w:p>
    <w:permEnd w:id="30"/>
    <w:tbl>
      <w:tblPr>
        <w:tblStyle w:val="19"/>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4"/>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密封连锁及压力保护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31" w:edGrp="everyone"/>
          </w:p>
        </w:tc>
        <w:tc>
          <w:tcPr>
            <w:tcW w:w="7128" w:type="dxa"/>
            <w:shd w:val="clear" w:color="auto" w:fill="auto"/>
            <w:vAlign w:val="center"/>
          </w:tcPr>
          <w:p>
            <w:pPr>
              <w:spacing w:line="276" w:lineRule="auto"/>
              <w:jc w:val="both"/>
              <w:rPr>
                <w:szCs w:val="21"/>
                <w:lang w:eastAsia="zh-CN"/>
              </w:rPr>
            </w:pPr>
            <w:r>
              <w:rPr>
                <w:rFonts w:hint="eastAsia" w:ascii="宋体" w:hAnsi="宋体" w:cs="Arial"/>
                <w:szCs w:val="21"/>
                <w:lang w:eastAsia="zh-CN"/>
              </w:rPr>
              <w:t>密封门应装有安全连锁装置：正常工作条件下，当门未锁紧时，设备发出报警。</w:t>
            </w:r>
            <w:r>
              <w:rPr>
                <w:rFonts w:ascii="宋体" w:hAnsi="宋体" w:cs="Arial"/>
                <w:szCs w:val="21"/>
                <w:lang w:eastAsia="zh-CN"/>
              </w:rPr>
              <w:t>FAT</w:t>
            </w:r>
            <w:r>
              <w:rPr>
                <w:rFonts w:hint="eastAsia" w:ascii="宋体" w:hAnsi="宋体" w:cs="Arial"/>
                <w:szCs w:val="21"/>
                <w:lang w:eastAsia="zh-CN"/>
              </w:rPr>
              <w:t>时应予以确认。</w:t>
            </w:r>
          </w:p>
        </w:tc>
        <w:tc>
          <w:tcPr>
            <w:tcW w:w="2125" w:type="dxa"/>
            <w:shd w:val="clear" w:color="auto" w:fill="auto"/>
            <w:vAlign w:val="center"/>
          </w:tcPr>
          <w:p>
            <w:pPr>
              <w:jc w:val="center"/>
              <w:rPr>
                <w:szCs w:val="21"/>
                <w:lang w:eastAsia="zh-CN"/>
              </w:rPr>
            </w:pPr>
            <w:r>
              <w:rPr>
                <w:rFonts w:hint="eastAsia" w:ascii="宋体" w:hAnsi="宋体" w:cs="Arial"/>
                <w:szCs w:val="21"/>
                <w:lang w:eastAsia="zh-CN"/>
              </w:rPr>
              <w:t>关键</w:t>
            </w:r>
            <w:r>
              <w:rPr>
                <w:rFonts w:hint="eastAsia"/>
                <w:szCs w:val="21"/>
                <w:lang w:eastAsia="zh-CN"/>
              </w:rPr>
              <w:t>※</w:t>
            </w:r>
          </w:p>
        </w:tc>
      </w:tr>
      <w:perm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32" w:edGrp="everyone"/>
          </w:p>
        </w:tc>
        <w:tc>
          <w:tcPr>
            <w:tcW w:w="7128" w:type="dxa"/>
            <w:shd w:val="clear" w:color="auto" w:fill="auto"/>
            <w:vAlign w:val="center"/>
          </w:tcPr>
          <w:p>
            <w:pPr>
              <w:spacing w:line="276" w:lineRule="auto"/>
              <w:jc w:val="both"/>
              <w:rPr>
                <w:szCs w:val="21"/>
                <w:lang w:eastAsia="zh-CN"/>
              </w:rPr>
            </w:pPr>
            <w:r>
              <w:rPr>
                <w:rFonts w:hint="eastAsia" w:ascii="宋体" w:hAnsi="宋体" w:cs="Arial"/>
                <w:szCs w:val="21"/>
                <w:lang w:eastAsia="zh-CN"/>
              </w:rPr>
              <w:t>在灭菌周期未开始的情况下，关闭的门应该可以被再次打开。</w:t>
            </w:r>
          </w:p>
        </w:tc>
        <w:tc>
          <w:tcPr>
            <w:tcW w:w="2125" w:type="dxa"/>
            <w:shd w:val="clear" w:color="auto" w:fill="auto"/>
            <w:vAlign w:val="center"/>
          </w:tcPr>
          <w:p>
            <w:pPr>
              <w:jc w:val="center"/>
              <w:rPr>
                <w:szCs w:val="21"/>
                <w:lang w:eastAsia="zh-CN"/>
              </w:rPr>
            </w:pPr>
            <w:r>
              <w:rPr>
                <w:rFonts w:hint="eastAsia" w:ascii="宋体" w:hAnsi="宋体" w:cs="Arial"/>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rFonts w:hint="eastAsia" w:ascii="宋体" w:hAnsi="宋体" w:cs="Arial"/>
                <w:szCs w:val="21"/>
                <w:lang w:eastAsia="zh-CN"/>
              </w:rPr>
              <w:t>在维修模式情况下，可以同时打开双扉门，需要对此设定相应的账号密码权限。</w:t>
            </w:r>
          </w:p>
        </w:tc>
        <w:tc>
          <w:tcPr>
            <w:tcW w:w="2125" w:type="dxa"/>
            <w:shd w:val="clear" w:color="auto" w:fill="auto"/>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rFonts w:hint="eastAsia" w:ascii="宋体" w:hAnsi="宋体" w:cs="Arial"/>
                <w:szCs w:val="21"/>
                <w:lang w:eastAsia="zh-CN"/>
              </w:rPr>
              <w:t>温度验证孔密封良好，长期运行不会破坏密封，且不会对内室温度造成不利影响。</w:t>
            </w:r>
          </w:p>
        </w:tc>
        <w:tc>
          <w:tcPr>
            <w:tcW w:w="2125" w:type="dxa"/>
            <w:shd w:val="clear" w:color="auto" w:fill="auto"/>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rFonts w:hint="eastAsia" w:ascii="宋体" w:hAnsi="宋体" w:cs="Arial"/>
                <w:szCs w:val="21"/>
                <w:lang w:eastAsia="zh-CN"/>
              </w:rPr>
              <w:t>验证孔为快接头式设计，方便验证仪接入。</w:t>
            </w:r>
          </w:p>
        </w:tc>
        <w:tc>
          <w:tcPr>
            <w:tcW w:w="2125" w:type="dxa"/>
            <w:shd w:val="clear" w:color="auto" w:fill="auto"/>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rFonts w:hint="eastAsia" w:ascii="宋体" w:hAnsi="宋体" w:cs="Arial"/>
                <w:szCs w:val="21"/>
                <w:lang w:eastAsia="zh-CN"/>
              </w:rPr>
              <w:t>温度传感器与柜体的连接必须良好，同时做好隔热、减震处理，避免使用时产生破坏密封和破坏传感器的情况发生。</w:t>
            </w:r>
          </w:p>
        </w:tc>
        <w:tc>
          <w:tcPr>
            <w:tcW w:w="2125" w:type="dxa"/>
            <w:shd w:val="clear" w:color="auto" w:fill="auto"/>
          </w:tcPr>
          <w:p>
            <w:pPr>
              <w:jc w:val="center"/>
            </w:pPr>
            <w:r>
              <w:rPr>
                <w:rFonts w:hint="eastAsia" w:ascii="宋体" w:hAnsi="宋体" w:cs="Arial"/>
                <w:szCs w:val="21"/>
                <w:lang w:eastAsia="zh-CN"/>
              </w:rPr>
              <w:t>关键</w:t>
            </w:r>
          </w:p>
        </w:tc>
      </w:tr>
      <w:permEnd w:id="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4"/>
              </w:numPr>
              <w:ind w:firstLineChars="0"/>
              <w:rPr>
                <w:rFonts w:ascii="Times New Roman" w:hAnsi="Times New Roman"/>
                <w:szCs w:val="21"/>
              </w:rPr>
            </w:pPr>
          </w:p>
        </w:tc>
        <w:tc>
          <w:tcPr>
            <w:tcW w:w="7128" w:type="dxa"/>
            <w:shd w:val="clear" w:color="auto" w:fill="D9D9D9"/>
            <w:vAlign w:val="center"/>
          </w:tcPr>
          <w:p>
            <w:pPr>
              <w:jc w:val="both"/>
              <w:rPr>
                <w:szCs w:val="21"/>
                <w:lang w:eastAsia="zh-CN"/>
              </w:rPr>
            </w:pPr>
            <w:r>
              <w:rPr>
                <w:szCs w:val="21"/>
                <w:lang w:eastAsia="zh-CN"/>
              </w:rPr>
              <w:t>电气保护</w:t>
            </w:r>
          </w:p>
        </w:tc>
        <w:tc>
          <w:tcPr>
            <w:tcW w:w="2125" w:type="dxa"/>
            <w:shd w:val="clear" w:color="auto" w:fill="D9D9D9"/>
            <w:vAlign w:val="center"/>
          </w:tcPr>
          <w:p>
            <w:pPr>
              <w:jc w:val="both"/>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33" w:edGrp="everyone"/>
          </w:p>
        </w:tc>
        <w:tc>
          <w:tcPr>
            <w:tcW w:w="7128" w:type="dxa"/>
            <w:shd w:val="clear" w:color="auto" w:fill="auto"/>
            <w:vAlign w:val="center"/>
          </w:tcPr>
          <w:p>
            <w:pPr>
              <w:jc w:val="both"/>
              <w:rPr>
                <w:szCs w:val="21"/>
                <w:lang w:eastAsia="zh-CN"/>
              </w:rPr>
            </w:pPr>
            <w:r>
              <w:rPr>
                <w:rFonts w:hint="eastAsia" w:ascii="宋体" w:cs="Arial"/>
                <w:szCs w:val="21"/>
                <w:lang w:eastAsia="zh-CN"/>
              </w:rPr>
              <w:t>电气安全应符合</w:t>
            </w:r>
            <w:r>
              <w:rPr>
                <w:rFonts w:ascii="宋体" w:cs="Arial"/>
                <w:szCs w:val="21"/>
                <w:lang w:eastAsia="zh-CN"/>
              </w:rPr>
              <w:t>GB4793.1</w:t>
            </w:r>
            <w:r>
              <w:rPr>
                <w:rFonts w:hint="eastAsia" w:ascii="宋体" w:cs="Arial"/>
                <w:szCs w:val="21"/>
                <w:lang w:eastAsia="zh-CN"/>
              </w:rPr>
              <w:t>的要求，电磁兼容性应符合</w:t>
            </w:r>
            <w:r>
              <w:rPr>
                <w:rFonts w:ascii="宋体" w:cs="Arial"/>
                <w:szCs w:val="21"/>
                <w:lang w:eastAsia="zh-CN"/>
              </w:rPr>
              <w:t>GB/T18268—2000</w:t>
            </w:r>
            <w:r>
              <w:rPr>
                <w:rFonts w:hint="eastAsia" w:ascii="宋体" w:cs="Arial"/>
                <w:szCs w:val="21"/>
                <w:lang w:eastAsia="zh-CN"/>
              </w:rPr>
              <w:t>《测量、控制和实验室用电设备电磁兼容性要求》。</w:t>
            </w:r>
          </w:p>
        </w:tc>
        <w:tc>
          <w:tcPr>
            <w:tcW w:w="2125" w:type="dxa"/>
            <w:shd w:val="clear" w:color="auto" w:fill="auto"/>
            <w:vAlign w:val="center"/>
          </w:tcPr>
          <w:p>
            <w:pPr>
              <w:jc w:val="center"/>
              <w:rPr>
                <w:szCs w:val="21"/>
                <w:lang w:eastAsia="zh-CN"/>
              </w:rPr>
            </w:pPr>
            <w:r>
              <w:rPr>
                <w:rFonts w:hint="eastAsia" w:ascii="宋体" w:hAnsi="宋体" w:cs="Arial"/>
                <w:szCs w:val="21"/>
                <w:lang w:eastAsia="zh-CN"/>
              </w:rPr>
              <w:t>关键</w:t>
            </w:r>
          </w:p>
        </w:tc>
      </w:tr>
      <w:permEnd w:id="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34" w:edGrp="everyone"/>
          </w:p>
        </w:tc>
        <w:tc>
          <w:tcPr>
            <w:tcW w:w="7128" w:type="dxa"/>
            <w:shd w:val="clear" w:color="auto" w:fill="auto"/>
            <w:vAlign w:val="center"/>
          </w:tcPr>
          <w:p>
            <w:pPr>
              <w:jc w:val="both"/>
              <w:rPr>
                <w:szCs w:val="21"/>
                <w:lang w:eastAsia="zh-CN"/>
              </w:rPr>
            </w:pPr>
            <w:r>
              <w:rPr>
                <w:rFonts w:hint="eastAsia" w:ascii="宋体" w:cs="Arial"/>
                <w:szCs w:val="21"/>
                <w:lang w:eastAsia="zh-CN"/>
              </w:rPr>
              <w:t>有断电保护：在仪器正常使用时，设备突然断电不致破坏软、硬件，数据。</w:t>
            </w:r>
          </w:p>
        </w:tc>
        <w:tc>
          <w:tcPr>
            <w:tcW w:w="2125" w:type="dxa"/>
            <w:shd w:val="clear" w:color="auto" w:fill="auto"/>
            <w:vAlign w:val="center"/>
          </w:tcPr>
          <w:p>
            <w:pPr>
              <w:jc w:val="center"/>
              <w:rPr>
                <w:szCs w:val="21"/>
                <w:lang w:eastAsia="zh-CN"/>
              </w:rPr>
            </w:pPr>
            <w:r>
              <w:rPr>
                <w:rFonts w:hint="eastAsia" w:ascii="宋体" w:hAnsi="宋体" w:cs="Arial"/>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jc w:val="both"/>
              <w:rPr>
                <w:szCs w:val="21"/>
                <w:lang w:eastAsia="zh-CN"/>
              </w:rPr>
            </w:pPr>
            <w:r>
              <w:rPr>
                <w:rFonts w:hint="eastAsia" w:ascii="宋体" w:cs="Arial"/>
                <w:szCs w:val="21"/>
                <w:lang w:eastAsia="zh-CN"/>
              </w:rPr>
              <w:t>控制系统安全装置：灭菌室的温度指示仪器应配备传感器故障保护装置，当故障或短路时，系统应该提供故障指示，并发出声光报警；当自动控制器发生故障时，应有安全装置使灭菌室内的温度恢复到安全状态，之后允许柜门打开。</w:t>
            </w:r>
          </w:p>
        </w:tc>
        <w:tc>
          <w:tcPr>
            <w:tcW w:w="2125" w:type="dxa"/>
            <w:shd w:val="clear" w:color="auto" w:fill="auto"/>
            <w:vAlign w:val="center"/>
          </w:tcPr>
          <w:p>
            <w:pPr>
              <w:jc w:val="center"/>
              <w:rPr>
                <w:szCs w:val="21"/>
                <w:lang w:eastAsia="zh-CN"/>
              </w:rPr>
            </w:pPr>
            <w:r>
              <w:rPr>
                <w:rFonts w:hint="eastAsia" w:ascii="宋体" w:hAnsi="宋体" w:cs="Arial"/>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rFonts w:hint="eastAsia" w:ascii="宋体" w:cs="Arial"/>
                <w:szCs w:val="21"/>
                <w:lang w:eastAsia="zh-CN"/>
              </w:rPr>
              <w:t>电控箱、触摸屏等电气防水等级为</w:t>
            </w:r>
            <w:r>
              <w:rPr>
                <w:rFonts w:ascii="宋体" w:cs="Arial"/>
                <w:szCs w:val="21"/>
                <w:lang w:eastAsia="zh-CN"/>
              </w:rPr>
              <w:t>IP54</w:t>
            </w:r>
            <w:r>
              <w:rPr>
                <w:rFonts w:hint="eastAsia" w:ascii="宋体" w:cs="Arial"/>
                <w:szCs w:val="21"/>
                <w:lang w:eastAsia="zh-CN"/>
              </w:rPr>
              <w:t>。</w:t>
            </w:r>
          </w:p>
        </w:tc>
        <w:tc>
          <w:tcPr>
            <w:tcW w:w="2125" w:type="dxa"/>
            <w:shd w:val="clear" w:color="auto" w:fill="auto"/>
            <w:vAlign w:val="center"/>
          </w:tcPr>
          <w:p>
            <w:pPr>
              <w:jc w:val="center"/>
              <w:rPr>
                <w:szCs w:val="21"/>
                <w:lang w:eastAsia="zh-CN"/>
              </w:rPr>
            </w:pPr>
            <w:r>
              <w:rPr>
                <w:rFonts w:hint="eastAsia" w:ascii="宋体" w:hAnsi="宋体" w:cs="Arial"/>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rFonts w:hint="eastAsia" w:ascii="宋体" w:cs="Arial"/>
                <w:szCs w:val="21"/>
                <w:lang w:eastAsia="zh-CN"/>
              </w:rPr>
              <w:t>柜体接地良好，有良好的漏电保护。</w:t>
            </w:r>
          </w:p>
        </w:tc>
        <w:tc>
          <w:tcPr>
            <w:tcW w:w="2125" w:type="dxa"/>
            <w:shd w:val="clear" w:color="auto" w:fill="auto"/>
            <w:vAlign w:val="center"/>
          </w:tcPr>
          <w:p>
            <w:pPr>
              <w:jc w:val="center"/>
              <w:rPr>
                <w:szCs w:val="21"/>
                <w:lang w:eastAsia="zh-CN"/>
              </w:rPr>
            </w:pPr>
            <w:r>
              <w:rPr>
                <w:rFonts w:hint="eastAsia" w:ascii="宋体" w:hAnsi="宋体" w:cs="Arial"/>
                <w:szCs w:val="21"/>
                <w:lang w:eastAsia="zh-CN"/>
              </w:rPr>
              <w:t>关键</w:t>
            </w:r>
          </w:p>
        </w:tc>
      </w:tr>
      <w:permEnd w:id="34"/>
    </w:tbl>
    <w:p>
      <w:pPr>
        <w:rPr>
          <w:szCs w:val="21"/>
          <w:lang w:eastAsia="zh-CN"/>
        </w:rPr>
      </w:pPr>
    </w:p>
    <w:p>
      <w:pPr>
        <w:pStyle w:val="31"/>
        <w:numPr>
          <w:ilvl w:val="0"/>
          <w:numId w:val="3"/>
        </w:numPr>
        <w:spacing w:after="158" w:afterLines="50"/>
        <w:ind w:left="426" w:hanging="426" w:hangingChars="202"/>
        <w:outlineLvl w:val="0"/>
        <w:rPr>
          <w:rFonts w:ascii="Times New Roman" w:hAnsi="Times New Roman"/>
          <w:b/>
        </w:rPr>
      </w:pPr>
      <w:bookmarkStart w:id="42" w:name="_Toc522716124"/>
      <w:bookmarkStart w:id="43" w:name="_Toc522107743"/>
      <w:r>
        <w:rPr>
          <w:rFonts w:ascii="Times New Roman" w:hAnsi="Times New Roman"/>
          <w:b/>
        </w:rPr>
        <w:t>文件要求</w:t>
      </w:r>
      <w:bookmarkEnd w:id="42"/>
      <w:bookmarkEnd w:id="43"/>
    </w:p>
    <w:p>
      <w:pPr>
        <w:pStyle w:val="41"/>
        <w:spacing w:before="0" w:line="360" w:lineRule="auto"/>
        <w:ind w:left="357"/>
        <w:jc w:val="left"/>
        <w:rPr>
          <w:i/>
          <w:szCs w:val="21"/>
          <w:lang w:eastAsia="zh-CN"/>
        </w:rPr>
      </w:pPr>
      <w:permStart w:id="35" w:edGrp="everyone"/>
    </w:p>
    <w:permEnd w:id="35"/>
    <w:tbl>
      <w:tblPr>
        <w:tblStyle w:val="19"/>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36" w:edGrp="everyone"/>
          </w:p>
        </w:tc>
        <w:tc>
          <w:tcPr>
            <w:tcW w:w="7128" w:type="dxa"/>
            <w:shd w:val="clear" w:color="auto" w:fill="auto"/>
            <w:vAlign w:val="center"/>
          </w:tcPr>
          <w:p>
            <w:pPr>
              <w:spacing w:line="276" w:lineRule="auto"/>
              <w:jc w:val="both"/>
              <w:rPr>
                <w:szCs w:val="21"/>
                <w:lang w:eastAsia="zh-CN"/>
              </w:rPr>
            </w:pPr>
            <w:r>
              <w:rPr>
                <w:rFonts w:hint="eastAsia"/>
                <w:szCs w:val="21"/>
                <w:lang w:eastAsia="zh-CN"/>
              </w:rPr>
              <w:t>权限清单、报警清单，均需在O</w:t>
            </w:r>
            <w:r>
              <w:rPr>
                <w:szCs w:val="21"/>
                <w:lang w:eastAsia="zh-CN"/>
              </w:rPr>
              <w:t>Q</w:t>
            </w:r>
            <w:r>
              <w:rPr>
                <w:rFonts w:hint="eastAsia"/>
                <w:szCs w:val="21"/>
                <w:lang w:eastAsia="zh-CN"/>
              </w:rPr>
              <w:t>开始前提交。</w:t>
            </w:r>
          </w:p>
        </w:tc>
        <w:tc>
          <w:tcPr>
            <w:tcW w:w="2125" w:type="dxa"/>
            <w:shd w:val="clear" w:color="auto" w:fill="auto"/>
            <w:vAlign w:val="center"/>
          </w:tcPr>
          <w:p>
            <w:pPr>
              <w:jc w:val="center"/>
              <w:rPr>
                <w:szCs w:val="21"/>
                <w:lang w:eastAsia="zh-CN"/>
              </w:rPr>
            </w:pPr>
            <w:r>
              <w:rPr>
                <w:rFonts w:hint="eastAsia" w:ascii="宋体" w:hAnsi="宋体" w:cs="Arial"/>
                <w:szCs w:val="21"/>
                <w:lang w:eastAsia="zh-CN"/>
              </w:rPr>
              <w:t>关键</w:t>
            </w:r>
          </w:p>
        </w:tc>
      </w:tr>
      <w:permEnd w:id="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37" w:edGrp="everyone"/>
          </w:p>
        </w:tc>
        <w:tc>
          <w:tcPr>
            <w:tcW w:w="7128" w:type="dxa"/>
            <w:shd w:val="clear" w:color="auto" w:fill="auto"/>
            <w:vAlign w:val="center"/>
          </w:tcPr>
          <w:p>
            <w:pPr>
              <w:spacing w:line="276" w:lineRule="auto"/>
              <w:jc w:val="both"/>
              <w:rPr>
                <w:szCs w:val="21"/>
                <w:lang w:eastAsia="zh-CN"/>
              </w:rPr>
            </w:pPr>
            <w:r>
              <w:rPr>
                <w:rFonts w:hint="eastAsia"/>
                <w:bCs/>
                <w:szCs w:val="21"/>
                <w:lang w:eastAsia="zh-CN"/>
              </w:rPr>
              <w:t>投标文件、合同及订单，</w:t>
            </w:r>
            <w:r>
              <w:rPr>
                <w:rFonts w:hint="eastAsia" w:ascii="宋体" w:hAnsi="宋体" w:cs="Arial"/>
                <w:szCs w:val="21"/>
                <w:lang w:eastAsia="zh-CN"/>
              </w:rPr>
              <w:t>设备开箱验收。</w:t>
            </w:r>
          </w:p>
        </w:tc>
        <w:tc>
          <w:tcPr>
            <w:tcW w:w="2125" w:type="dxa"/>
            <w:shd w:val="clear" w:color="auto" w:fill="auto"/>
            <w:vAlign w:val="center"/>
          </w:tcPr>
          <w:p>
            <w:pPr>
              <w:jc w:val="center"/>
              <w:rPr>
                <w:szCs w:val="21"/>
                <w:lang w:eastAsia="zh-CN"/>
              </w:rPr>
            </w:pPr>
            <w:r>
              <w:rPr>
                <w:rFonts w:hint="eastAsia" w:ascii="宋体" w:hAnsi="宋体" w:cs="Arial"/>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宋体" w:cs="Arial"/>
                <w:szCs w:val="21"/>
                <w:lang w:eastAsia="zh-CN"/>
              </w:rPr>
            </w:pPr>
            <w:r>
              <w:rPr>
                <w:rFonts w:hint="eastAsia"/>
                <w:bCs/>
                <w:szCs w:val="21"/>
                <w:lang w:eastAsia="zh-CN"/>
              </w:rPr>
              <w:t>卖方发运清单及相关检验报告，</w:t>
            </w:r>
            <w:r>
              <w:rPr>
                <w:rFonts w:hint="eastAsia" w:ascii="宋体" w:hAnsi="宋体" w:cs="Arial"/>
                <w:szCs w:val="21"/>
                <w:lang w:eastAsia="zh-CN"/>
              </w:rPr>
              <w:t>设备开箱验收。</w:t>
            </w:r>
          </w:p>
        </w:tc>
        <w:tc>
          <w:tcPr>
            <w:tcW w:w="2125" w:type="dxa"/>
            <w:shd w:val="clear" w:color="auto" w:fill="auto"/>
            <w:vAlign w:val="center"/>
          </w:tcPr>
          <w:p>
            <w:pPr>
              <w:jc w:val="center"/>
              <w:rPr>
                <w:szCs w:val="21"/>
                <w:lang w:eastAsia="zh-CN"/>
              </w:rPr>
            </w:pPr>
            <w:r>
              <w:rPr>
                <w:rFonts w:hint="eastAsia" w:ascii="宋体" w:hAnsi="宋体" w:cs="Arial"/>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宋体" w:cs="Arial"/>
                <w:szCs w:val="21"/>
                <w:lang w:eastAsia="zh-CN"/>
              </w:rPr>
            </w:pPr>
            <w:r>
              <w:rPr>
                <w:rFonts w:hint="eastAsia" w:ascii="宋体" w:cs="Arial"/>
                <w:szCs w:val="21"/>
                <w:lang w:eastAsia="zh-CN"/>
              </w:rPr>
              <w:t>系统功能配置清单及说明，包含各组件名称、编号、型号、规格、品牌、材质等。</w:t>
            </w:r>
          </w:p>
        </w:tc>
        <w:tc>
          <w:tcPr>
            <w:tcW w:w="2125" w:type="dxa"/>
            <w:shd w:val="clear" w:color="auto" w:fill="auto"/>
            <w:vAlign w:val="center"/>
          </w:tcPr>
          <w:p>
            <w:pPr>
              <w:jc w:val="center"/>
              <w:rPr>
                <w:szCs w:val="21"/>
                <w:lang w:eastAsia="zh-CN"/>
              </w:rPr>
            </w:pPr>
            <w:r>
              <w:rPr>
                <w:rFonts w:hint="eastAsia" w:ascii="宋体" w:hAnsi="宋体" w:cs="Arial"/>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宋体" w:cs="Arial"/>
                <w:szCs w:val="21"/>
                <w:lang w:eastAsia="zh-CN"/>
              </w:rPr>
            </w:pPr>
            <w:r>
              <w:rPr>
                <w:rFonts w:hint="eastAsia" w:ascii="宋体" w:hAnsi="宋体" w:cs="Arial"/>
                <w:szCs w:val="21"/>
                <w:lang w:eastAsia="zh-CN"/>
              </w:rPr>
              <w:t>系统选型文件，包括设备标准技术文件、功能说明、设计说明、软硬件配置清单与说明，DQ开始前完成审批。</w:t>
            </w:r>
          </w:p>
        </w:tc>
        <w:tc>
          <w:tcPr>
            <w:tcW w:w="2125" w:type="dxa"/>
            <w:shd w:val="clear" w:color="auto" w:fill="auto"/>
            <w:vAlign w:val="center"/>
          </w:tcPr>
          <w:p>
            <w:pPr>
              <w:jc w:val="center"/>
              <w:rPr>
                <w:szCs w:val="21"/>
                <w:lang w:eastAsia="zh-CN"/>
              </w:rPr>
            </w:pPr>
            <w:r>
              <w:rPr>
                <w:rFonts w:hint="eastAsia" w:ascii="宋体" w:hAnsi="宋体" w:cs="Arial"/>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宋体" w:cs="Arial"/>
                <w:szCs w:val="21"/>
                <w:lang w:eastAsia="zh-CN"/>
              </w:rPr>
            </w:pPr>
            <w:r>
              <w:rPr>
                <w:rFonts w:hint="eastAsia" w:ascii="宋体" w:cs="Arial"/>
                <w:szCs w:val="21"/>
                <w:lang w:eastAsia="zh-CN"/>
              </w:rPr>
              <w:t>图纸：实物图；各种确认、维修等活动所需的电子版及打印版图纸（</w:t>
            </w:r>
            <w:r>
              <w:rPr>
                <w:rFonts w:ascii="宋体" w:cs="Arial"/>
                <w:szCs w:val="21"/>
                <w:lang w:eastAsia="zh-CN"/>
              </w:rPr>
              <w:t>P&amp;ID</w:t>
            </w:r>
            <w:r>
              <w:rPr>
                <w:rFonts w:hint="eastAsia" w:ascii="宋体" w:cs="Arial"/>
                <w:szCs w:val="21"/>
                <w:lang w:eastAsia="zh-CN"/>
              </w:rPr>
              <w:t>图、尺寸图、安装图、必要的细节图、控制原理图、设备装配图、设备工作原理图、气动原理图、电气原理图、控制盘面仪表、开关配置图等线图、</w:t>
            </w:r>
            <w:r>
              <w:rPr>
                <w:rFonts w:ascii="宋体" w:cs="Arial"/>
                <w:szCs w:val="21"/>
                <w:lang w:eastAsia="zh-CN"/>
              </w:rPr>
              <w:t>PLC</w:t>
            </w:r>
            <w:r>
              <w:rPr>
                <w:rFonts w:hint="eastAsia" w:ascii="宋体" w:cs="Arial"/>
                <w:szCs w:val="21"/>
                <w:lang w:eastAsia="zh-CN"/>
              </w:rPr>
              <w:t>相关图纸等）；图纸清单</w:t>
            </w:r>
            <w:r>
              <w:rPr>
                <w:rFonts w:hint="eastAsia"/>
                <w:bCs/>
                <w:szCs w:val="21"/>
                <w:lang w:eastAsia="zh-CN"/>
              </w:rPr>
              <w:t>，</w:t>
            </w:r>
            <w:r>
              <w:rPr>
                <w:rFonts w:hint="eastAsia" w:ascii="宋体" w:hAnsi="宋体" w:cs="Arial"/>
                <w:szCs w:val="21"/>
                <w:lang w:eastAsia="zh-CN"/>
              </w:rPr>
              <w:t>不晚于IQ开始前提交</w:t>
            </w:r>
            <w:r>
              <w:rPr>
                <w:rFonts w:hint="eastAsia" w:ascii="宋体" w:cs="Arial"/>
                <w:szCs w:val="21"/>
                <w:lang w:eastAsia="zh-CN"/>
              </w:rPr>
              <w:t>。</w:t>
            </w:r>
          </w:p>
        </w:tc>
        <w:tc>
          <w:tcPr>
            <w:tcW w:w="2125" w:type="dxa"/>
            <w:shd w:val="clear" w:color="auto" w:fill="auto"/>
            <w:vAlign w:val="center"/>
          </w:tcPr>
          <w:p>
            <w:pPr>
              <w:jc w:val="center"/>
              <w:rPr>
                <w:szCs w:val="21"/>
                <w:lang w:eastAsia="zh-CN"/>
              </w:rPr>
            </w:pPr>
            <w:r>
              <w:rPr>
                <w:rFonts w:hint="eastAsia" w:ascii="宋体" w:hAnsi="宋体" w:cs="Arial"/>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宋体" w:cs="Arial"/>
                <w:szCs w:val="21"/>
                <w:lang w:eastAsia="zh-CN"/>
              </w:rPr>
            </w:pPr>
            <w:r>
              <w:rPr>
                <w:rFonts w:hint="eastAsia" w:ascii="宋体" w:cs="Arial"/>
                <w:szCs w:val="21"/>
                <w:lang w:eastAsia="zh-CN"/>
              </w:rPr>
              <w:t>设备安装过程文件：包括各种安装处理记录及报告、管道焊接过程文件、焊工资质文件、管道酸洗钝化记录、内窥镜检测记录等</w:t>
            </w:r>
            <w:r>
              <w:rPr>
                <w:rFonts w:hint="eastAsia" w:ascii="宋体" w:hAnsi="宋体" w:cs="Arial"/>
                <w:szCs w:val="21"/>
                <w:lang w:eastAsia="zh-CN"/>
              </w:rPr>
              <w:t>，不晚于IQ开始前提交</w:t>
            </w:r>
            <w:r>
              <w:rPr>
                <w:rFonts w:hint="eastAsia" w:ascii="宋体" w:cs="Arial"/>
                <w:szCs w:val="21"/>
                <w:lang w:eastAsia="zh-CN"/>
              </w:rPr>
              <w:t>。</w:t>
            </w:r>
          </w:p>
        </w:tc>
        <w:tc>
          <w:tcPr>
            <w:tcW w:w="2125" w:type="dxa"/>
            <w:shd w:val="clear" w:color="auto" w:fill="auto"/>
            <w:vAlign w:val="center"/>
          </w:tcPr>
          <w:p>
            <w:pPr>
              <w:jc w:val="center"/>
              <w:rPr>
                <w:szCs w:val="21"/>
                <w:lang w:eastAsia="zh-CN"/>
              </w:rPr>
            </w:pPr>
            <w:r>
              <w:rPr>
                <w:rFonts w:hint="eastAsia" w:ascii="宋体" w:hAnsi="宋体" w:cs="Arial"/>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宋体" w:cs="Arial"/>
                <w:szCs w:val="21"/>
                <w:lang w:eastAsia="zh-CN"/>
              </w:rPr>
            </w:pPr>
            <w:r>
              <w:rPr>
                <w:rFonts w:hint="eastAsia" w:ascii="宋体" w:cs="Arial"/>
                <w:szCs w:val="21"/>
                <w:lang w:eastAsia="zh-CN"/>
              </w:rPr>
              <w:t>配件清单、易损件清单、备件、消耗品、仪表清单：包括名称、编号、对应厂家名称、生产地、规格及必要说明</w:t>
            </w:r>
            <w:r>
              <w:rPr>
                <w:rFonts w:hint="eastAsia"/>
                <w:bCs/>
                <w:szCs w:val="21"/>
                <w:lang w:eastAsia="zh-CN"/>
              </w:rPr>
              <w:t>，</w:t>
            </w:r>
            <w:r>
              <w:rPr>
                <w:rFonts w:hint="eastAsia" w:ascii="宋体" w:hAnsi="宋体" w:cs="Arial"/>
                <w:szCs w:val="21"/>
                <w:lang w:eastAsia="zh-CN"/>
              </w:rPr>
              <w:t>不晚于IQ开始前提交</w:t>
            </w:r>
            <w:r>
              <w:rPr>
                <w:rFonts w:hint="eastAsia" w:ascii="宋体" w:cs="Arial"/>
                <w:szCs w:val="21"/>
                <w:lang w:eastAsia="zh-CN"/>
              </w:rPr>
              <w:t>。</w:t>
            </w:r>
          </w:p>
        </w:tc>
        <w:tc>
          <w:tcPr>
            <w:tcW w:w="2125" w:type="dxa"/>
            <w:shd w:val="clear" w:color="auto" w:fill="auto"/>
            <w:vAlign w:val="center"/>
          </w:tcPr>
          <w:p>
            <w:pPr>
              <w:jc w:val="center"/>
              <w:rPr>
                <w:szCs w:val="21"/>
                <w:lang w:eastAsia="zh-CN"/>
              </w:rPr>
            </w:pPr>
            <w:r>
              <w:rPr>
                <w:rFonts w:hint="eastAsia" w:ascii="宋体" w:hAnsi="宋体" w:cs="Arial"/>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宋体" w:cs="Arial"/>
                <w:szCs w:val="21"/>
                <w:lang w:eastAsia="zh-CN"/>
              </w:rPr>
            </w:pPr>
            <w:r>
              <w:rPr>
                <w:rFonts w:hint="eastAsia" w:ascii="宋体" w:cs="Arial"/>
                <w:szCs w:val="21"/>
                <w:lang w:eastAsia="zh-CN"/>
              </w:rPr>
              <w:t>设备厂家文件：出厂测试合格证、各关键组件说明书、相关检测报告、各种标示</w:t>
            </w:r>
            <w:r>
              <w:rPr>
                <w:rFonts w:hint="eastAsia" w:ascii="宋体" w:hAnsi="宋体" w:cs="Arial"/>
                <w:szCs w:val="21"/>
                <w:lang w:eastAsia="zh-CN"/>
              </w:rPr>
              <w:t>，不晚于IQ开始前提交</w:t>
            </w:r>
            <w:r>
              <w:rPr>
                <w:rFonts w:hint="eastAsia" w:ascii="宋体" w:cs="Arial"/>
                <w:szCs w:val="21"/>
                <w:lang w:eastAsia="zh-CN"/>
              </w:rPr>
              <w:t>。</w:t>
            </w:r>
          </w:p>
        </w:tc>
        <w:tc>
          <w:tcPr>
            <w:tcW w:w="2125" w:type="dxa"/>
            <w:shd w:val="clear" w:color="auto" w:fill="auto"/>
            <w:vAlign w:val="center"/>
          </w:tcPr>
          <w:p>
            <w:pPr>
              <w:jc w:val="center"/>
              <w:rPr>
                <w:szCs w:val="21"/>
                <w:lang w:eastAsia="zh-CN"/>
              </w:rPr>
            </w:pPr>
            <w:r>
              <w:rPr>
                <w:rFonts w:hint="eastAsia" w:ascii="宋体" w:hAnsi="宋体" w:cs="Arial"/>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360" w:lineRule="auto"/>
              <w:jc w:val="both"/>
              <w:rPr>
                <w:rFonts w:ascii="宋体" w:cs="Arial"/>
                <w:szCs w:val="21"/>
                <w:lang w:eastAsia="zh-CN"/>
              </w:rPr>
            </w:pPr>
            <w:r>
              <w:rPr>
                <w:rFonts w:hint="eastAsia" w:ascii="宋体" w:cs="Arial"/>
                <w:szCs w:val="21"/>
                <w:lang w:eastAsia="zh-CN"/>
              </w:rPr>
              <w:t>设备操作手册、设备维护手册（</w:t>
            </w:r>
            <w:r>
              <w:rPr>
                <w:rFonts w:ascii="宋体" w:cs="Arial"/>
                <w:szCs w:val="21"/>
                <w:lang w:eastAsia="zh-CN"/>
              </w:rPr>
              <w:t>SOP</w:t>
            </w:r>
            <w:r>
              <w:rPr>
                <w:rFonts w:hint="eastAsia" w:ascii="宋体" w:cs="Arial"/>
                <w:szCs w:val="21"/>
                <w:lang w:eastAsia="zh-CN"/>
              </w:rPr>
              <w:t>）：语言为中文，应说明校准周期，并能提供校准服务（此项服务可付费）</w:t>
            </w:r>
            <w:r>
              <w:rPr>
                <w:rFonts w:hint="eastAsia"/>
                <w:bCs/>
                <w:szCs w:val="21"/>
                <w:lang w:eastAsia="zh-CN"/>
              </w:rPr>
              <w:t>，</w:t>
            </w:r>
            <w:r>
              <w:rPr>
                <w:rFonts w:hint="eastAsia" w:ascii="宋体" w:hAnsi="宋体" w:cs="Arial"/>
                <w:szCs w:val="21"/>
                <w:lang w:eastAsia="zh-CN"/>
              </w:rPr>
              <w:t>设备开箱验收</w:t>
            </w:r>
            <w:r>
              <w:rPr>
                <w:rFonts w:hint="eastAsia" w:ascii="宋体" w:cs="Arial"/>
                <w:szCs w:val="21"/>
                <w:lang w:eastAsia="zh-CN"/>
              </w:rPr>
              <w:t>。</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6"/>
              <w:rPr>
                <w:lang w:eastAsia="zh-CN"/>
              </w:rPr>
            </w:pPr>
            <w:r>
              <w:rPr>
                <w:rFonts w:hint="eastAsia" w:ascii="宋体" w:cs="Arial"/>
                <w:szCs w:val="21"/>
                <w:lang w:eastAsia="zh-CN"/>
              </w:rPr>
              <w:t>温度探头和压力表的计量证书，</w:t>
            </w:r>
            <w:r>
              <w:rPr>
                <w:rFonts w:hint="eastAsia"/>
                <w:lang w:eastAsia="zh-CN"/>
              </w:rPr>
              <w:t>计量证书由具有检测资质的第三方出具</w:t>
            </w:r>
            <w:r>
              <w:rPr>
                <w:rFonts w:hint="eastAsia" w:ascii="宋体" w:hAnsi="宋体" w:cs="Arial"/>
                <w:szCs w:val="21"/>
                <w:lang w:eastAsia="zh-CN"/>
              </w:rPr>
              <w:t>不，晚于IQ开始前提交</w:t>
            </w:r>
            <w:r>
              <w:rPr>
                <w:rFonts w:hint="eastAsia" w:ascii="宋体" w:cs="Arial"/>
                <w:szCs w:val="21"/>
                <w:lang w:eastAsia="zh-CN"/>
              </w:rPr>
              <w:t>。</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宋体" w:cs="Arial"/>
                <w:szCs w:val="21"/>
                <w:lang w:eastAsia="zh-CN"/>
              </w:rPr>
            </w:pPr>
            <w:r>
              <w:rPr>
                <w:rFonts w:hint="eastAsia" w:ascii="宋体" w:cs="Arial"/>
                <w:szCs w:val="21"/>
                <w:lang w:eastAsia="zh-CN"/>
              </w:rPr>
              <w:t>安全报告</w:t>
            </w:r>
            <w:r>
              <w:rPr>
                <w:rFonts w:hint="eastAsia"/>
                <w:bCs/>
                <w:szCs w:val="21"/>
                <w:lang w:eastAsia="zh-CN"/>
              </w:rPr>
              <w:t>，</w:t>
            </w:r>
            <w:r>
              <w:rPr>
                <w:rFonts w:hint="eastAsia" w:ascii="宋体" w:hAnsi="宋体" w:cs="Arial"/>
                <w:szCs w:val="21"/>
                <w:lang w:eastAsia="zh-CN"/>
              </w:rPr>
              <w:t>设备开箱验收</w:t>
            </w:r>
            <w:r>
              <w:rPr>
                <w:rFonts w:hint="eastAsia" w:ascii="宋体" w:cs="Arial"/>
                <w:szCs w:val="21"/>
                <w:lang w:eastAsia="zh-CN"/>
              </w:rPr>
              <w:t>。</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宋体" w:cs="Arial"/>
                <w:szCs w:val="21"/>
                <w:lang w:eastAsia="zh-CN"/>
              </w:rPr>
            </w:pPr>
            <w:r>
              <w:rPr>
                <w:rFonts w:hint="eastAsia"/>
                <w:bCs/>
                <w:szCs w:val="21"/>
                <w:lang w:eastAsia="zh-CN"/>
              </w:rPr>
              <w:t>各种必要的合格证，包括部件合格证、材质证书等，</w:t>
            </w:r>
            <w:r>
              <w:rPr>
                <w:rFonts w:hint="eastAsia" w:ascii="宋体" w:hAnsi="宋体" w:cs="Arial"/>
                <w:szCs w:val="21"/>
                <w:lang w:eastAsia="zh-CN"/>
              </w:rPr>
              <w:t>设备开箱验收。</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宋体" w:cs="Arial"/>
                <w:szCs w:val="21"/>
                <w:lang w:eastAsia="zh-CN"/>
              </w:rPr>
            </w:pPr>
            <w:r>
              <w:rPr>
                <w:rFonts w:hint="eastAsia"/>
                <w:bCs/>
                <w:szCs w:val="21"/>
                <w:lang w:eastAsia="zh-CN"/>
              </w:rPr>
              <w:t>供应商需提供工厂验收测试（</w:t>
            </w:r>
            <w:r>
              <w:rPr>
                <w:bCs/>
                <w:szCs w:val="21"/>
                <w:lang w:eastAsia="zh-CN"/>
              </w:rPr>
              <w:t>FAT</w:t>
            </w:r>
            <w:r>
              <w:rPr>
                <w:rFonts w:hint="eastAsia"/>
                <w:bCs/>
                <w:szCs w:val="21"/>
                <w:lang w:eastAsia="zh-CN"/>
              </w:rPr>
              <w:t>）和现场验收测试（</w:t>
            </w:r>
            <w:r>
              <w:rPr>
                <w:bCs/>
                <w:szCs w:val="21"/>
                <w:lang w:eastAsia="zh-CN"/>
              </w:rPr>
              <w:t>SAT</w:t>
            </w:r>
            <w:r>
              <w:rPr>
                <w:rFonts w:hint="eastAsia"/>
                <w:bCs/>
                <w:szCs w:val="21"/>
                <w:lang w:eastAsia="zh-CN"/>
              </w:rPr>
              <w:t>）报告。</w:t>
            </w:r>
            <w:r>
              <w:rPr>
                <w:rFonts w:hint="eastAsia" w:ascii="宋体" w:hAnsi="宋体" w:cs="Arial"/>
                <w:szCs w:val="21"/>
                <w:lang w:eastAsia="zh-CN"/>
              </w:rPr>
              <w:t>FAT应在设备制造完成后出厂发货前完成审批并提交；SAT在设备安装调试后IQ开始前完成审批并提交。</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宋体" w:cs="Arial"/>
                <w:szCs w:val="21"/>
                <w:lang w:eastAsia="zh-CN"/>
              </w:rPr>
            </w:pPr>
            <w:r>
              <w:rPr>
                <w:rFonts w:hint="eastAsia" w:ascii="宋体" w:cs="Arial"/>
                <w:szCs w:val="21"/>
                <w:lang w:eastAsia="zh-CN"/>
              </w:rPr>
              <w:t>调试文件：调试计划、调试方案、设备测试记录，检测清单，测试报告，调试总结报告、现场验收报告等</w:t>
            </w:r>
            <w:r>
              <w:rPr>
                <w:rFonts w:hint="eastAsia"/>
                <w:bCs/>
                <w:szCs w:val="21"/>
                <w:lang w:eastAsia="zh-CN"/>
              </w:rPr>
              <w:t>，</w:t>
            </w:r>
            <w:r>
              <w:rPr>
                <w:rFonts w:hint="eastAsia" w:ascii="宋体" w:hAnsi="宋体" w:cs="Arial"/>
                <w:szCs w:val="21"/>
                <w:lang w:eastAsia="zh-CN"/>
              </w:rPr>
              <w:t>不晚于IQ开始前提交</w:t>
            </w:r>
            <w:r>
              <w:rPr>
                <w:rFonts w:hint="eastAsia" w:ascii="宋体" w:cs="Arial"/>
                <w:szCs w:val="21"/>
                <w:lang w:eastAsia="zh-CN"/>
              </w:rPr>
              <w:t>。</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line="276" w:lineRule="auto"/>
              <w:rPr>
                <w:bCs/>
                <w:sz w:val="21"/>
                <w:szCs w:val="21"/>
                <w:lang w:eastAsia="zh-CN"/>
              </w:rPr>
            </w:pPr>
            <w:r>
              <w:rPr>
                <w:rFonts w:hint="eastAsia"/>
                <w:bCs/>
                <w:sz w:val="21"/>
                <w:szCs w:val="21"/>
                <w:lang w:eastAsia="zh-CN"/>
              </w:rPr>
              <w:t>供应商需提供首次验证文件：</w:t>
            </w:r>
          </w:p>
          <w:p>
            <w:pPr>
              <w:pStyle w:val="7"/>
              <w:numPr>
                <w:ilvl w:val="0"/>
                <w:numId w:val="15"/>
              </w:numPr>
              <w:tabs>
                <w:tab w:val="left" w:pos="420"/>
              </w:tabs>
              <w:spacing w:line="276" w:lineRule="auto"/>
              <w:rPr>
                <w:bCs/>
                <w:color w:val="000000" w:themeColor="text1"/>
                <w:sz w:val="21"/>
                <w:szCs w:val="21"/>
                <w:lang w:eastAsia="zh-CN"/>
              </w:rPr>
            </w:pPr>
            <w:r>
              <w:rPr>
                <w:rFonts w:hint="eastAsia"/>
                <w:bCs/>
                <w:color w:val="000000" w:themeColor="text1"/>
                <w:sz w:val="21"/>
                <w:szCs w:val="21"/>
                <w:lang w:eastAsia="zh-CN"/>
              </w:rPr>
              <w:t>验证计划，设计阶段，设计确认开始前提交。</w:t>
            </w:r>
          </w:p>
          <w:p>
            <w:pPr>
              <w:pStyle w:val="7"/>
              <w:numPr>
                <w:ilvl w:val="0"/>
                <w:numId w:val="15"/>
              </w:numPr>
              <w:tabs>
                <w:tab w:val="left" w:pos="420"/>
              </w:tabs>
              <w:spacing w:line="276" w:lineRule="auto"/>
              <w:rPr>
                <w:bCs/>
                <w:color w:val="000000" w:themeColor="text1"/>
                <w:sz w:val="21"/>
                <w:szCs w:val="21"/>
                <w:lang w:eastAsia="zh-CN"/>
              </w:rPr>
            </w:pPr>
            <w:r>
              <w:rPr>
                <w:rFonts w:hint="eastAsia"/>
                <w:bCs/>
                <w:color w:val="000000" w:themeColor="text1"/>
                <w:sz w:val="21"/>
                <w:szCs w:val="21"/>
                <w:lang w:eastAsia="zh-CN"/>
              </w:rPr>
              <w:t>满足</w:t>
            </w:r>
            <w:r>
              <w:rPr>
                <w:bCs/>
                <w:color w:val="000000" w:themeColor="text1"/>
                <w:sz w:val="21"/>
                <w:szCs w:val="21"/>
                <w:lang w:eastAsia="zh-CN"/>
              </w:rPr>
              <w:t>GMP</w:t>
            </w:r>
            <w:r>
              <w:rPr>
                <w:rFonts w:hint="eastAsia"/>
                <w:bCs/>
                <w:color w:val="000000" w:themeColor="text1"/>
                <w:sz w:val="21"/>
                <w:szCs w:val="21"/>
                <w:lang w:eastAsia="zh-CN"/>
              </w:rPr>
              <w:t>和</w:t>
            </w:r>
            <w:r>
              <w:rPr>
                <w:bCs/>
                <w:color w:val="000000" w:themeColor="text1"/>
                <w:sz w:val="21"/>
                <w:szCs w:val="21"/>
                <w:lang w:eastAsia="zh-CN"/>
              </w:rPr>
              <w:t>GAMP5</w:t>
            </w:r>
            <w:r>
              <w:rPr>
                <w:rFonts w:hint="eastAsia"/>
                <w:bCs/>
                <w:color w:val="000000" w:themeColor="text1"/>
                <w:sz w:val="21"/>
                <w:szCs w:val="21"/>
                <w:lang w:eastAsia="zh-CN"/>
              </w:rPr>
              <w:t>等相关法规的评估文件，系统影响性评估、计算机化系统影响性评估，在DQ开始前提交。</w:t>
            </w:r>
          </w:p>
          <w:p>
            <w:pPr>
              <w:pStyle w:val="7"/>
              <w:numPr>
                <w:ilvl w:val="0"/>
                <w:numId w:val="15"/>
              </w:numPr>
              <w:tabs>
                <w:tab w:val="left" w:pos="420"/>
              </w:tabs>
              <w:spacing w:line="276" w:lineRule="auto"/>
              <w:rPr>
                <w:bCs/>
                <w:color w:val="000000" w:themeColor="text1"/>
                <w:sz w:val="21"/>
                <w:szCs w:val="21"/>
                <w:lang w:eastAsia="zh-CN"/>
              </w:rPr>
            </w:pPr>
            <w:r>
              <w:rPr>
                <w:rFonts w:hint="eastAsia"/>
                <w:bCs/>
                <w:color w:val="000000" w:themeColor="text1"/>
                <w:sz w:val="21"/>
                <w:szCs w:val="21"/>
                <w:lang w:eastAsia="zh-CN"/>
              </w:rPr>
              <w:t>设计确认及文件（DQ），设计完成后，制造及安装开始前完成审批并提交。</w:t>
            </w:r>
          </w:p>
          <w:p>
            <w:pPr>
              <w:pStyle w:val="7"/>
              <w:numPr>
                <w:ilvl w:val="0"/>
                <w:numId w:val="15"/>
              </w:numPr>
              <w:tabs>
                <w:tab w:val="left" w:pos="420"/>
              </w:tabs>
              <w:spacing w:line="276" w:lineRule="auto"/>
              <w:rPr>
                <w:bCs/>
                <w:color w:val="000000" w:themeColor="text1"/>
                <w:sz w:val="21"/>
                <w:szCs w:val="21"/>
                <w:lang w:eastAsia="zh-CN"/>
              </w:rPr>
            </w:pPr>
            <w:r>
              <w:rPr>
                <w:rFonts w:hint="eastAsia"/>
                <w:bCs/>
                <w:color w:val="000000" w:themeColor="text1"/>
                <w:sz w:val="21"/>
                <w:szCs w:val="21"/>
                <w:lang w:eastAsia="zh-CN"/>
              </w:rPr>
              <w:t>安装确认及文件（</w:t>
            </w:r>
            <w:r>
              <w:rPr>
                <w:bCs/>
                <w:color w:val="000000" w:themeColor="text1"/>
                <w:sz w:val="21"/>
                <w:szCs w:val="21"/>
                <w:lang w:eastAsia="zh-CN"/>
              </w:rPr>
              <w:t>IQ</w:t>
            </w:r>
            <w:r>
              <w:rPr>
                <w:rFonts w:hint="eastAsia"/>
                <w:bCs/>
                <w:color w:val="000000" w:themeColor="text1"/>
                <w:sz w:val="21"/>
                <w:szCs w:val="21"/>
                <w:lang w:eastAsia="zh-CN"/>
              </w:rPr>
              <w:t>），SAT批准后开始执行，OQ开始前完成审批并提交。</w:t>
            </w:r>
          </w:p>
          <w:p>
            <w:pPr>
              <w:pStyle w:val="7"/>
              <w:numPr>
                <w:ilvl w:val="0"/>
                <w:numId w:val="15"/>
              </w:numPr>
              <w:tabs>
                <w:tab w:val="left" w:pos="420"/>
              </w:tabs>
              <w:spacing w:line="276" w:lineRule="auto"/>
              <w:rPr>
                <w:bCs/>
                <w:color w:val="000000" w:themeColor="text1"/>
                <w:sz w:val="21"/>
                <w:szCs w:val="21"/>
                <w:lang w:eastAsia="zh-CN"/>
              </w:rPr>
            </w:pPr>
            <w:r>
              <w:rPr>
                <w:rFonts w:hint="eastAsia"/>
                <w:bCs/>
                <w:color w:val="000000" w:themeColor="text1"/>
                <w:sz w:val="21"/>
                <w:szCs w:val="21"/>
                <w:lang w:eastAsia="zh-CN"/>
              </w:rPr>
              <w:t>运行确认及文件（</w:t>
            </w:r>
            <w:r>
              <w:rPr>
                <w:bCs/>
                <w:color w:val="000000" w:themeColor="text1"/>
                <w:sz w:val="21"/>
                <w:szCs w:val="21"/>
                <w:lang w:eastAsia="zh-CN"/>
              </w:rPr>
              <w:t>OQ</w:t>
            </w:r>
            <w:r>
              <w:rPr>
                <w:rFonts w:hint="eastAsia"/>
                <w:bCs/>
                <w:color w:val="000000" w:themeColor="text1"/>
                <w:sz w:val="21"/>
                <w:szCs w:val="21"/>
                <w:lang w:eastAsia="zh-CN"/>
              </w:rPr>
              <w:t>），IQ批准后开始执行，PQ开始前完成审批并提交。</w:t>
            </w:r>
          </w:p>
          <w:p>
            <w:pPr>
              <w:pStyle w:val="7"/>
              <w:numPr>
                <w:ilvl w:val="0"/>
                <w:numId w:val="15"/>
              </w:numPr>
              <w:tabs>
                <w:tab w:val="left" w:pos="420"/>
              </w:tabs>
              <w:spacing w:line="276" w:lineRule="auto"/>
              <w:rPr>
                <w:bCs/>
                <w:sz w:val="21"/>
                <w:szCs w:val="21"/>
                <w:lang w:eastAsia="zh-CN"/>
              </w:rPr>
            </w:pPr>
            <w:r>
              <w:rPr>
                <w:rFonts w:hint="eastAsia"/>
                <w:bCs/>
                <w:color w:val="000000" w:themeColor="text1"/>
                <w:sz w:val="21"/>
                <w:szCs w:val="21"/>
                <w:lang w:eastAsia="zh-CN"/>
              </w:rPr>
              <w:t>设备生产商负责制定设备验证计划、评估文件、</w:t>
            </w:r>
            <w:r>
              <w:rPr>
                <w:bCs/>
                <w:color w:val="000000" w:themeColor="text1"/>
                <w:sz w:val="21"/>
                <w:szCs w:val="21"/>
                <w:lang w:eastAsia="zh-CN"/>
              </w:rPr>
              <w:t>DQ/IQ/OQ</w:t>
            </w:r>
            <w:r>
              <w:rPr>
                <w:rFonts w:hint="eastAsia"/>
                <w:bCs/>
                <w:color w:val="000000" w:themeColor="text1"/>
                <w:sz w:val="21"/>
                <w:szCs w:val="21"/>
                <w:lang w:eastAsia="zh-CN"/>
              </w:rPr>
              <w:t>验证文件、追溯矩阵、验证总结报告，并负责验证工作的实施，该验证文件作为设备必备文件。</w:t>
            </w:r>
          </w:p>
          <w:p>
            <w:pPr>
              <w:spacing w:line="360" w:lineRule="auto"/>
              <w:jc w:val="both"/>
              <w:rPr>
                <w:rFonts w:ascii="宋体" w:cs="Arial"/>
                <w:szCs w:val="21"/>
                <w:lang w:eastAsia="zh-CN"/>
              </w:rPr>
            </w:pPr>
            <w:r>
              <w:rPr>
                <w:rFonts w:hint="eastAsia"/>
                <w:bCs/>
                <w:szCs w:val="21"/>
                <w:lang w:eastAsia="zh-CN"/>
              </w:rPr>
              <w:t>PQ厂家应自己完成一次满载测试，并配合我所进行PQ测试</w:t>
            </w:r>
          </w:p>
        </w:tc>
        <w:tc>
          <w:tcPr>
            <w:tcW w:w="2125" w:type="dxa"/>
            <w:shd w:val="clear" w:color="auto" w:fill="auto"/>
            <w:vAlign w:val="center"/>
          </w:tcPr>
          <w:p>
            <w:pPr>
              <w:jc w:val="center"/>
              <w:rPr>
                <w:szCs w:val="21"/>
                <w:lang w:eastAsia="zh-CN"/>
              </w:rPr>
            </w:pPr>
            <w:r>
              <w:rPr>
                <w:rFonts w:hint="eastAsia" w:cs="宋体"/>
                <w:lang w:eastAsia="zh-CN"/>
              </w:rPr>
              <w:t>关键</w:t>
            </w:r>
            <w:r>
              <w:rPr>
                <w:rFonts w:hint="eastAsia" w:ascii="宋体" w:hAnsi="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line="276" w:lineRule="auto"/>
              <w:rPr>
                <w:bCs/>
                <w:sz w:val="21"/>
                <w:szCs w:val="21"/>
                <w:lang w:eastAsia="zh-CN"/>
              </w:rPr>
            </w:pPr>
            <w:r>
              <w:rPr>
                <w:rFonts w:hint="eastAsia"/>
                <w:bCs/>
                <w:sz w:val="21"/>
                <w:szCs w:val="21"/>
                <w:lang w:eastAsia="zh-CN"/>
              </w:rPr>
              <w:t>验证文件：</w:t>
            </w:r>
          </w:p>
          <w:p>
            <w:pPr>
              <w:pStyle w:val="7"/>
              <w:spacing w:line="276" w:lineRule="auto"/>
              <w:rPr>
                <w:bCs/>
                <w:sz w:val="21"/>
                <w:szCs w:val="21"/>
                <w:lang w:eastAsia="zh-CN"/>
              </w:rPr>
            </w:pPr>
            <w:r>
              <w:rPr>
                <w:rFonts w:hint="eastAsia"/>
                <w:bCs/>
                <w:sz w:val="21"/>
                <w:szCs w:val="21"/>
                <w:lang w:eastAsia="zh-CN"/>
              </w:rPr>
              <w:t>（1）需求追溯矩阵（RTM），PQ完成后开始起草，最终验收前提交。</w:t>
            </w:r>
          </w:p>
          <w:p>
            <w:pPr>
              <w:spacing w:line="276" w:lineRule="auto"/>
              <w:jc w:val="both"/>
              <w:rPr>
                <w:rFonts w:ascii="宋体" w:hAnsi="宋体" w:cs="宋体"/>
                <w:szCs w:val="21"/>
                <w:lang w:eastAsia="zh-CN"/>
              </w:rPr>
            </w:pPr>
            <w:r>
              <w:rPr>
                <w:rFonts w:hint="eastAsia"/>
                <w:bCs/>
                <w:szCs w:val="21"/>
                <w:lang w:eastAsia="zh-CN"/>
              </w:rPr>
              <w:t>（2）验证总结报告（VSR），PQ完成后开始起草，最终验收前提交。</w:t>
            </w:r>
          </w:p>
        </w:tc>
        <w:tc>
          <w:tcPr>
            <w:tcW w:w="2125" w:type="dxa"/>
            <w:shd w:val="clear" w:color="auto" w:fill="auto"/>
            <w:vAlign w:val="center"/>
          </w:tcPr>
          <w:p>
            <w:pPr>
              <w:jc w:val="center"/>
              <w:rPr>
                <w:rFonts w:cs="宋体"/>
                <w:lang w:eastAsia="zh-CN"/>
              </w:rPr>
            </w:pPr>
            <w:r>
              <w:rPr>
                <w:rFonts w:hint="eastAsia" w:cs="宋体"/>
                <w:lang w:eastAsia="zh-CN"/>
              </w:rPr>
              <w:t>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360" w:lineRule="auto"/>
              <w:jc w:val="both"/>
              <w:rPr>
                <w:rFonts w:ascii="宋体" w:cs="Arial"/>
                <w:szCs w:val="21"/>
                <w:lang w:eastAsia="zh-CN"/>
              </w:rPr>
            </w:pPr>
            <w:r>
              <w:rPr>
                <w:rFonts w:hint="eastAsia"/>
                <w:bCs/>
                <w:szCs w:val="21"/>
                <w:lang w:eastAsia="zh-CN"/>
              </w:rPr>
              <w:t>设备交付计划表，设备开箱验收。</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360" w:lineRule="auto"/>
              <w:jc w:val="both"/>
              <w:rPr>
                <w:rFonts w:ascii="宋体" w:cs="Arial"/>
                <w:szCs w:val="21"/>
                <w:lang w:eastAsia="zh-CN"/>
              </w:rPr>
            </w:pPr>
            <w:r>
              <w:rPr>
                <w:rFonts w:hint="eastAsia"/>
                <w:bCs/>
                <w:szCs w:val="21"/>
                <w:lang w:eastAsia="zh-CN"/>
              </w:rPr>
              <w:t>使用操作说明书及维护保养说明（即运行及维护手册）3份，设备开箱验收。</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360" w:lineRule="auto"/>
              <w:jc w:val="both"/>
              <w:rPr>
                <w:rFonts w:ascii="宋体" w:cs="Arial"/>
                <w:szCs w:val="21"/>
                <w:lang w:eastAsia="zh-CN"/>
              </w:rPr>
            </w:pPr>
            <w:r>
              <w:rPr>
                <w:rFonts w:hint="eastAsia"/>
                <w:bCs/>
                <w:szCs w:val="21"/>
                <w:lang w:eastAsia="zh-CN"/>
              </w:rPr>
              <w:t>提供设备及其零部件使用寿命清单，设备开箱验收。</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360" w:lineRule="auto"/>
              <w:jc w:val="both"/>
              <w:rPr>
                <w:rFonts w:ascii="宋体" w:cs="Arial"/>
                <w:szCs w:val="21"/>
                <w:lang w:eastAsia="zh-CN"/>
              </w:rPr>
            </w:pPr>
            <w:r>
              <w:rPr>
                <w:rFonts w:hint="eastAsia" w:ascii="宋体" w:cs="Arial"/>
                <w:szCs w:val="21"/>
                <w:lang w:eastAsia="zh-CN"/>
              </w:rPr>
              <w:t>应有针对每一部件所作序号的简明图册，在设备上也有相应标识，以便于维修人员查找和辩识</w:t>
            </w:r>
            <w:r>
              <w:rPr>
                <w:rFonts w:hint="eastAsia"/>
                <w:bCs/>
                <w:szCs w:val="21"/>
                <w:lang w:eastAsia="zh-CN"/>
              </w:rPr>
              <w:t>，设备开箱验收</w:t>
            </w:r>
            <w:r>
              <w:rPr>
                <w:rFonts w:hint="eastAsia" w:ascii="宋体" w:cs="Arial"/>
                <w:szCs w:val="21"/>
                <w:lang w:eastAsia="zh-CN"/>
              </w:rPr>
              <w:t>。</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360" w:lineRule="auto"/>
              <w:jc w:val="both"/>
              <w:rPr>
                <w:rFonts w:ascii="宋体" w:cs="Arial"/>
                <w:szCs w:val="21"/>
                <w:lang w:eastAsia="zh-CN"/>
              </w:rPr>
            </w:pPr>
            <w:r>
              <w:rPr>
                <w:rFonts w:hint="eastAsia" w:ascii="宋体" w:cs="Arial"/>
                <w:szCs w:val="21"/>
                <w:lang w:eastAsia="zh-CN"/>
              </w:rPr>
              <w:t>满足</w:t>
            </w:r>
            <w:r>
              <w:rPr>
                <w:rFonts w:ascii="宋体" w:cs="Arial"/>
                <w:szCs w:val="21"/>
                <w:lang w:eastAsia="zh-CN"/>
              </w:rPr>
              <w:t>GEP</w:t>
            </w:r>
            <w:r>
              <w:rPr>
                <w:rFonts w:hint="eastAsia" w:ascii="宋体" w:cs="Arial"/>
                <w:szCs w:val="21"/>
                <w:lang w:eastAsia="zh-CN"/>
              </w:rPr>
              <w:t>要求的项目文件交付包</w:t>
            </w:r>
            <w:r>
              <w:rPr>
                <w:rFonts w:hint="eastAsia"/>
                <w:szCs w:val="21"/>
                <w:lang w:eastAsia="zh-CN"/>
              </w:rPr>
              <w:t>，</w:t>
            </w:r>
            <w:r>
              <w:rPr>
                <w:rFonts w:hint="eastAsia" w:ascii="宋体" w:hAnsi="宋体" w:cs="Arial"/>
                <w:szCs w:val="21"/>
                <w:lang w:eastAsia="zh-CN"/>
              </w:rPr>
              <w:t>不晚于IQ开始前提交。</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360" w:lineRule="auto"/>
              <w:jc w:val="both"/>
              <w:rPr>
                <w:rFonts w:ascii="宋体" w:cs="Arial"/>
                <w:szCs w:val="21"/>
                <w:lang w:eastAsia="zh-CN"/>
              </w:rPr>
            </w:pPr>
            <w:r>
              <w:rPr>
                <w:rFonts w:hint="eastAsia" w:ascii="宋体" w:cs="Arial"/>
                <w:szCs w:val="21"/>
                <w:lang w:eastAsia="zh-CN"/>
              </w:rPr>
              <w:t>文件具体要求：</w:t>
            </w:r>
          </w:p>
          <w:p>
            <w:pPr>
              <w:spacing w:line="360" w:lineRule="auto"/>
              <w:jc w:val="both"/>
              <w:rPr>
                <w:rFonts w:ascii="宋体" w:cs="Arial"/>
                <w:szCs w:val="21"/>
                <w:lang w:eastAsia="zh-CN"/>
              </w:rPr>
            </w:pPr>
            <w:r>
              <w:rPr>
                <w:rFonts w:hint="eastAsia" w:ascii="宋体" w:cs="Arial"/>
                <w:szCs w:val="21"/>
                <w:lang w:eastAsia="zh-CN"/>
              </w:rPr>
              <w:t>（</w:t>
            </w:r>
            <w:r>
              <w:rPr>
                <w:rFonts w:ascii="宋体" w:cs="Arial"/>
                <w:szCs w:val="21"/>
                <w:lang w:eastAsia="zh-CN"/>
              </w:rPr>
              <w:t>1</w:t>
            </w:r>
            <w:r>
              <w:rPr>
                <w:rFonts w:hint="eastAsia" w:ascii="宋体" w:cs="Arial"/>
                <w:szCs w:val="21"/>
                <w:lang w:eastAsia="zh-CN"/>
              </w:rPr>
              <w:t>）系统相关方案中，应明确本系统的配置、规格；</w:t>
            </w:r>
          </w:p>
          <w:p>
            <w:pPr>
              <w:spacing w:line="360" w:lineRule="auto"/>
              <w:jc w:val="both"/>
              <w:rPr>
                <w:rFonts w:ascii="宋体" w:cs="Arial"/>
                <w:szCs w:val="21"/>
                <w:lang w:eastAsia="zh-CN"/>
              </w:rPr>
            </w:pPr>
            <w:r>
              <w:rPr>
                <w:rFonts w:hint="eastAsia" w:ascii="宋体" w:cs="Arial"/>
                <w:szCs w:val="21"/>
                <w:lang w:eastAsia="zh-CN"/>
              </w:rPr>
              <w:t>（</w:t>
            </w:r>
            <w:r>
              <w:rPr>
                <w:rFonts w:ascii="宋体" w:cs="Arial"/>
                <w:szCs w:val="21"/>
                <w:lang w:eastAsia="zh-CN"/>
              </w:rPr>
              <w:t>2</w:t>
            </w:r>
            <w:r>
              <w:rPr>
                <w:rFonts w:hint="eastAsia" w:ascii="宋体" w:cs="Arial"/>
                <w:szCs w:val="21"/>
                <w:lang w:eastAsia="zh-CN"/>
              </w:rPr>
              <w:t>）标书中明确系统所有组件的品牌、材质、型号，并且注明每一个组件的保修期。</w:t>
            </w:r>
          </w:p>
          <w:p>
            <w:pPr>
              <w:spacing w:line="360" w:lineRule="auto"/>
              <w:jc w:val="both"/>
              <w:rPr>
                <w:rFonts w:ascii="宋体" w:cs="Arial"/>
                <w:szCs w:val="21"/>
                <w:lang w:eastAsia="zh-CN"/>
              </w:rPr>
            </w:pPr>
            <w:r>
              <w:rPr>
                <w:rFonts w:hint="eastAsia" w:ascii="宋体" w:cs="Arial"/>
                <w:szCs w:val="21"/>
                <w:lang w:eastAsia="zh-CN"/>
              </w:rPr>
              <w:t>（</w:t>
            </w:r>
            <w:r>
              <w:rPr>
                <w:rFonts w:ascii="宋体" w:cs="Arial"/>
                <w:szCs w:val="21"/>
                <w:lang w:eastAsia="zh-CN"/>
              </w:rPr>
              <w:t>3</w:t>
            </w:r>
            <w:r>
              <w:rPr>
                <w:rFonts w:hint="eastAsia" w:ascii="宋体" w:cs="Arial"/>
                <w:szCs w:val="21"/>
                <w:lang w:eastAsia="zh-CN"/>
              </w:rPr>
              <w:t>）需要提供主要配件清单，并作单项报价备案，列在合同方案之内。</w:t>
            </w:r>
          </w:p>
          <w:p>
            <w:pPr>
              <w:spacing w:line="360" w:lineRule="auto"/>
              <w:jc w:val="both"/>
              <w:rPr>
                <w:rFonts w:ascii="宋体" w:cs="Arial"/>
                <w:szCs w:val="21"/>
                <w:lang w:eastAsia="zh-CN"/>
              </w:rPr>
            </w:pPr>
            <w:r>
              <w:rPr>
                <w:rFonts w:hint="eastAsia" w:ascii="宋体" w:cs="Arial"/>
                <w:szCs w:val="21"/>
                <w:lang w:eastAsia="zh-CN"/>
              </w:rPr>
              <w:t>（</w:t>
            </w:r>
            <w:r>
              <w:rPr>
                <w:rFonts w:ascii="宋体" w:cs="Arial"/>
                <w:szCs w:val="21"/>
                <w:lang w:eastAsia="zh-CN"/>
              </w:rPr>
              <w:t>4</w:t>
            </w:r>
            <w:r>
              <w:rPr>
                <w:rFonts w:hint="eastAsia" w:ascii="宋体" w:cs="Arial"/>
                <w:szCs w:val="21"/>
                <w:lang w:eastAsia="zh-CN"/>
              </w:rPr>
              <w:t>）供应商应在制造安装前需要就实际尺寸，管路、器件布局与我方沟通确认无误后方可执行。</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360" w:lineRule="auto"/>
              <w:jc w:val="both"/>
              <w:rPr>
                <w:rFonts w:ascii="宋体" w:cs="Arial"/>
                <w:szCs w:val="21"/>
                <w:lang w:eastAsia="zh-CN"/>
              </w:rPr>
            </w:pPr>
            <w:r>
              <w:rPr>
                <w:rFonts w:hint="eastAsia"/>
                <w:bCs/>
                <w:szCs w:val="21"/>
                <w:lang w:eastAsia="zh-CN"/>
              </w:rPr>
              <w:t>供应商需提供所有组件的合格证和说明书，设备开箱验收。</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tcPr>
          <w:p>
            <w:pPr>
              <w:spacing w:line="360" w:lineRule="auto"/>
              <w:jc w:val="both"/>
              <w:rPr>
                <w:rFonts w:ascii="宋体" w:cs="Arial"/>
                <w:sz w:val="24"/>
                <w:lang w:eastAsia="zh-CN"/>
              </w:rPr>
            </w:pPr>
            <w:r>
              <w:rPr>
                <w:rFonts w:hint="eastAsia"/>
                <w:bCs/>
                <w:szCs w:val="21"/>
                <w:lang w:eastAsia="zh-CN"/>
              </w:rPr>
              <w:t>上述条款规定的文件需提供电子版，并在设备开箱验收时将最终批准的电子版全套资料交工程技术部存档，设备开箱验收。</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37"/>
    </w:tbl>
    <w:p>
      <w:pPr>
        <w:rPr>
          <w:szCs w:val="21"/>
          <w:lang w:eastAsia="zh-CN"/>
        </w:rPr>
      </w:pPr>
    </w:p>
    <w:p>
      <w:pPr>
        <w:pStyle w:val="31"/>
        <w:numPr>
          <w:ilvl w:val="0"/>
          <w:numId w:val="3"/>
        </w:numPr>
        <w:spacing w:after="158" w:afterLines="50"/>
        <w:ind w:left="426" w:hanging="426" w:hangingChars="202"/>
        <w:outlineLvl w:val="0"/>
        <w:rPr>
          <w:rFonts w:ascii="Times New Roman" w:hAnsi="Times New Roman"/>
          <w:b/>
        </w:rPr>
      </w:pPr>
      <w:bookmarkStart w:id="44" w:name="_Toc522716125"/>
      <w:r>
        <w:rPr>
          <w:rFonts w:ascii="Times New Roman" w:hAnsi="Times New Roman"/>
          <w:b/>
          <w:szCs w:val="21"/>
        </w:rPr>
        <w:t>服务要求</w:t>
      </w:r>
      <w:bookmarkEnd w:id="44"/>
    </w:p>
    <w:p>
      <w:pPr>
        <w:pStyle w:val="41"/>
        <w:spacing w:before="0" w:line="360" w:lineRule="auto"/>
        <w:ind w:left="357"/>
        <w:jc w:val="left"/>
        <w:rPr>
          <w:i/>
          <w:color w:val="4472C4"/>
          <w:szCs w:val="21"/>
          <w:lang w:eastAsia="zh-CN"/>
        </w:rPr>
      </w:pPr>
      <w:permStart w:id="38" w:edGrp="everyone"/>
    </w:p>
    <w:permEnd w:id="38"/>
    <w:tbl>
      <w:tblPr>
        <w:tblStyle w:val="19"/>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培训要求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39" w:edGrp="everyone"/>
          </w:p>
        </w:tc>
        <w:tc>
          <w:tcPr>
            <w:tcW w:w="7128" w:type="dxa"/>
            <w:shd w:val="clear" w:color="auto" w:fill="auto"/>
            <w:vAlign w:val="center"/>
          </w:tcPr>
          <w:p>
            <w:pPr>
              <w:spacing w:line="276" w:lineRule="auto"/>
              <w:jc w:val="both"/>
              <w:rPr>
                <w:szCs w:val="21"/>
                <w:lang w:eastAsia="zh-CN"/>
              </w:rPr>
            </w:pPr>
            <w:r>
              <w:rPr>
                <w:lang w:eastAsia="zh-CN"/>
              </w:rPr>
              <w:t>设备供应商应免费对设备使用方人员进行全面培训，包括对生产操作人员及设备维护、维修人员，并填写培训记录。</w:t>
            </w:r>
          </w:p>
        </w:tc>
        <w:tc>
          <w:tcPr>
            <w:tcW w:w="2125" w:type="dxa"/>
            <w:shd w:val="clear" w:color="auto" w:fill="auto"/>
            <w:vAlign w:val="center"/>
          </w:tcPr>
          <w:p>
            <w:pPr>
              <w:jc w:val="center"/>
              <w:rPr>
                <w:szCs w:val="21"/>
                <w:lang w:eastAsia="zh-CN"/>
              </w:rPr>
            </w:pPr>
            <w:r>
              <w:rPr>
                <w:rFonts w:hint="eastAsia" w:ascii="宋体" w:hAnsi="宋体" w:cs="Arial"/>
                <w:szCs w:val="21"/>
                <w:lang w:eastAsia="zh-CN"/>
              </w:rPr>
              <w:t>关键</w:t>
            </w:r>
          </w:p>
        </w:tc>
      </w:tr>
      <w:permEnd w:id="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40" w:edGrp="everyone"/>
          </w:p>
        </w:tc>
        <w:tc>
          <w:tcPr>
            <w:tcW w:w="7128" w:type="dxa"/>
            <w:shd w:val="clear" w:color="auto" w:fill="auto"/>
            <w:vAlign w:val="center"/>
          </w:tcPr>
          <w:p>
            <w:pPr>
              <w:spacing w:line="276" w:lineRule="auto"/>
              <w:jc w:val="both"/>
              <w:rPr>
                <w:szCs w:val="21"/>
                <w:lang w:eastAsia="zh-CN"/>
              </w:rPr>
            </w:pPr>
            <w:r>
              <w:rPr>
                <w:lang w:eastAsia="zh-CN"/>
              </w:rPr>
              <w:t>生产操作人员培训包括设备结构原理、性能、操作、清洗消毒、故障排除等基本</w:t>
            </w:r>
            <w:r>
              <w:rPr>
                <w:szCs w:val="21"/>
                <w:lang w:eastAsia="zh-CN"/>
              </w:rPr>
              <w:t>知识</w:t>
            </w:r>
            <w:r>
              <w:rPr>
                <w:lang w:eastAsia="zh-CN"/>
              </w:rPr>
              <w:t>。合格标准为用户参加培训人员能够独立正确操作设备，会排除常见故障。</w:t>
            </w:r>
          </w:p>
        </w:tc>
        <w:tc>
          <w:tcPr>
            <w:tcW w:w="2125" w:type="dxa"/>
            <w:shd w:val="clear" w:color="auto" w:fill="auto"/>
            <w:vAlign w:val="center"/>
          </w:tcPr>
          <w:p>
            <w:pPr>
              <w:jc w:val="center"/>
              <w:rPr>
                <w:szCs w:val="21"/>
                <w:lang w:eastAsia="zh-CN"/>
              </w:rPr>
            </w:pPr>
            <w:r>
              <w:rPr>
                <w:rFonts w:hint="eastAsia" w:ascii="宋体" w:hAnsi="宋体" w:cs="Arial"/>
                <w:szCs w:val="21"/>
                <w:lang w:eastAsia="zh-CN"/>
              </w:rPr>
              <w:t>关键</w:t>
            </w:r>
          </w:p>
        </w:tc>
      </w:tr>
      <w:permEnd w:id="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41" w:edGrp="everyone"/>
          </w:p>
        </w:tc>
        <w:tc>
          <w:tcPr>
            <w:tcW w:w="7128" w:type="dxa"/>
            <w:shd w:val="clear" w:color="auto" w:fill="auto"/>
            <w:vAlign w:val="center"/>
          </w:tcPr>
          <w:p>
            <w:pPr>
              <w:spacing w:line="276" w:lineRule="auto"/>
              <w:jc w:val="both"/>
              <w:rPr>
                <w:lang w:eastAsia="zh-CN"/>
              </w:rPr>
            </w:pPr>
            <w:r>
              <w:rPr>
                <w:lang w:eastAsia="zh-CN"/>
              </w:rPr>
              <w:t>设备维护、维修人员培训应包括设备结构原理、基本操作、维修、日常保养内容、故障排除等基本知识。合格标准为维修人员能对机械、电器部分进行基本维修，能够了解设备日常保养内容，能对造成常见故障的易损部件有明确认识。</w:t>
            </w:r>
          </w:p>
        </w:tc>
        <w:tc>
          <w:tcPr>
            <w:tcW w:w="2125" w:type="dxa"/>
            <w:shd w:val="clear" w:color="auto" w:fill="auto"/>
            <w:vAlign w:val="center"/>
          </w:tcPr>
          <w:p>
            <w:pPr>
              <w:jc w:val="center"/>
              <w:rPr>
                <w:szCs w:val="21"/>
                <w:lang w:eastAsia="zh-CN"/>
              </w:rPr>
            </w:pPr>
            <w:r>
              <w:rPr>
                <w:rFonts w:hint="eastAsia" w:ascii="宋体" w:hAnsi="宋体" w:cs="Arial"/>
                <w:szCs w:val="21"/>
                <w:lang w:eastAsia="zh-CN"/>
              </w:rPr>
              <w:t>关键</w:t>
            </w:r>
          </w:p>
        </w:tc>
      </w:tr>
      <w:perm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运输要求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42" w:edGrp="everyone"/>
          </w:p>
        </w:tc>
        <w:tc>
          <w:tcPr>
            <w:tcW w:w="7128" w:type="dxa"/>
            <w:shd w:val="clear" w:color="auto" w:fill="auto"/>
            <w:vAlign w:val="center"/>
          </w:tcPr>
          <w:p>
            <w:pPr>
              <w:spacing w:line="360" w:lineRule="auto"/>
              <w:jc w:val="both"/>
              <w:rPr>
                <w:rFonts w:ascii="宋体" w:cs="Arial"/>
                <w:szCs w:val="21"/>
                <w:lang w:eastAsia="zh-CN"/>
              </w:rPr>
            </w:pPr>
            <w:r>
              <w:rPr>
                <w:rFonts w:hint="eastAsia" w:ascii="宋体" w:cs="Arial"/>
                <w:szCs w:val="21"/>
                <w:lang w:eastAsia="zh-CN"/>
              </w:rPr>
              <w:t>设备运输在运输途中需做好防护措施，不得有任何损伤。</w:t>
            </w:r>
          </w:p>
          <w:p>
            <w:pPr>
              <w:spacing w:line="276" w:lineRule="auto"/>
              <w:jc w:val="both"/>
              <w:rPr>
                <w:szCs w:val="21"/>
                <w:lang w:eastAsia="zh-CN"/>
              </w:rPr>
            </w:pPr>
            <w:r>
              <w:rPr>
                <w:rFonts w:hint="eastAsia" w:ascii="宋体" w:cs="Arial"/>
                <w:szCs w:val="21"/>
                <w:lang w:eastAsia="zh-CN"/>
              </w:rPr>
              <w:t>吊装费用含在设备合同内，由设备供应商提供费用。</w:t>
            </w:r>
          </w:p>
        </w:tc>
        <w:tc>
          <w:tcPr>
            <w:tcW w:w="2125" w:type="dxa"/>
            <w:shd w:val="clear" w:color="auto" w:fill="auto"/>
            <w:vAlign w:val="center"/>
          </w:tcPr>
          <w:p>
            <w:pPr>
              <w:jc w:val="center"/>
              <w:rPr>
                <w:szCs w:val="21"/>
                <w:lang w:eastAsia="zh-CN"/>
              </w:rPr>
            </w:pPr>
            <w:r>
              <w:rPr>
                <w:rFonts w:hint="eastAsia" w:ascii="宋体" w:hAnsi="宋体" w:cs="Arial"/>
                <w:szCs w:val="21"/>
                <w:lang w:eastAsia="zh-CN"/>
              </w:rPr>
              <w:t>关键</w:t>
            </w:r>
          </w:p>
        </w:tc>
      </w:tr>
      <w:permEnd w:id="4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验证要求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43" w:edGrp="everyone"/>
          </w:p>
        </w:tc>
        <w:tc>
          <w:tcPr>
            <w:tcW w:w="7128" w:type="dxa"/>
            <w:shd w:val="clear" w:color="auto" w:fill="auto"/>
            <w:vAlign w:val="center"/>
          </w:tcPr>
          <w:p>
            <w:pPr>
              <w:spacing w:line="276" w:lineRule="auto"/>
              <w:jc w:val="both"/>
              <w:rPr>
                <w:i/>
                <w:szCs w:val="21"/>
                <w:lang w:eastAsia="zh-CN"/>
              </w:rPr>
            </w:pPr>
            <w:r>
              <w:rPr>
                <w:rFonts w:hint="eastAsia" w:ascii="宋体" w:cs="Arial"/>
                <w:szCs w:val="21"/>
                <w:lang w:eastAsia="zh-CN"/>
              </w:rPr>
              <w:t>说明：验证要求包括硬件和软件（计算机系统）</w:t>
            </w:r>
          </w:p>
        </w:tc>
        <w:tc>
          <w:tcPr>
            <w:tcW w:w="2125" w:type="dxa"/>
            <w:shd w:val="clear" w:color="auto" w:fill="auto"/>
            <w:vAlign w:val="center"/>
          </w:tcPr>
          <w:p>
            <w:pPr>
              <w:jc w:val="center"/>
              <w:rPr>
                <w:szCs w:val="21"/>
                <w:lang w:eastAsia="zh-CN"/>
              </w:rPr>
            </w:pPr>
            <w:r>
              <w:rPr>
                <w:rFonts w:hint="eastAsia" w:ascii="宋体" w:hAnsi="宋体" w:cs="Arial"/>
                <w:szCs w:val="21"/>
                <w:lang w:eastAsia="zh-CN"/>
              </w:rPr>
              <w:t>关键</w:t>
            </w:r>
            <w:r>
              <w:rPr>
                <w:rFonts w:hint="eastAsia"/>
                <w:szCs w:val="21"/>
                <w:lang w:eastAsia="zh-CN"/>
              </w:rPr>
              <w:t>※</w:t>
            </w:r>
          </w:p>
        </w:tc>
      </w:tr>
      <w:permEnd w:id="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44" w:edGrp="everyone"/>
          </w:p>
        </w:tc>
        <w:tc>
          <w:tcPr>
            <w:tcW w:w="7128" w:type="dxa"/>
            <w:shd w:val="clear" w:color="auto" w:fill="auto"/>
            <w:vAlign w:val="center"/>
          </w:tcPr>
          <w:p>
            <w:pPr>
              <w:spacing w:line="276" w:lineRule="auto"/>
              <w:jc w:val="both"/>
              <w:rPr>
                <w:szCs w:val="21"/>
                <w:lang w:eastAsia="zh-CN"/>
              </w:rPr>
            </w:pPr>
            <w:r>
              <w:rPr>
                <w:rFonts w:hint="eastAsia" w:ascii="宋体" w:cs="Arial"/>
                <w:szCs w:val="21"/>
                <w:lang w:eastAsia="zh-CN"/>
              </w:rPr>
              <w:t>验证包括验证计划、系统评估、计算机化系统评估、风险评估、</w:t>
            </w:r>
            <w:r>
              <w:rPr>
                <w:rFonts w:ascii="宋体" w:cs="Arial"/>
                <w:szCs w:val="21"/>
                <w:lang w:eastAsia="zh-CN"/>
              </w:rPr>
              <w:t>DQ</w:t>
            </w:r>
            <w:r>
              <w:rPr>
                <w:rFonts w:hint="eastAsia" w:ascii="宋体" w:cs="Arial"/>
                <w:szCs w:val="21"/>
                <w:lang w:eastAsia="zh-CN"/>
              </w:rPr>
              <w:t>、</w:t>
            </w:r>
            <w:r>
              <w:rPr>
                <w:rFonts w:ascii="宋体" w:cs="Arial"/>
                <w:szCs w:val="21"/>
                <w:lang w:eastAsia="zh-CN"/>
              </w:rPr>
              <w:t>SAT</w:t>
            </w:r>
            <w:r>
              <w:rPr>
                <w:rFonts w:hint="eastAsia" w:ascii="宋体" w:cs="Arial"/>
                <w:szCs w:val="21"/>
                <w:lang w:eastAsia="zh-CN"/>
              </w:rPr>
              <w:t>、</w:t>
            </w:r>
            <w:r>
              <w:rPr>
                <w:rFonts w:ascii="宋体" w:cs="Arial"/>
                <w:szCs w:val="21"/>
                <w:lang w:eastAsia="zh-CN"/>
              </w:rPr>
              <w:t>IQ</w:t>
            </w:r>
            <w:r>
              <w:rPr>
                <w:rFonts w:hint="eastAsia" w:ascii="宋体" w:cs="Arial"/>
                <w:szCs w:val="21"/>
                <w:lang w:eastAsia="zh-CN"/>
              </w:rPr>
              <w:t>、</w:t>
            </w:r>
            <w:r>
              <w:rPr>
                <w:rFonts w:ascii="宋体" w:cs="Arial"/>
                <w:szCs w:val="21"/>
                <w:lang w:eastAsia="zh-CN"/>
              </w:rPr>
              <w:t>OQ</w:t>
            </w:r>
            <w:r>
              <w:rPr>
                <w:rFonts w:hint="eastAsia" w:ascii="宋体" w:cs="Arial"/>
                <w:szCs w:val="21"/>
                <w:lang w:eastAsia="zh-CN"/>
              </w:rPr>
              <w:t>文件与服务，供应商必须派出具备该类系统验证经验，且熟悉验证相关文件编写及验证工作实施的验证工程师开展验证工作。供应商协助完成</w:t>
            </w:r>
            <w:r>
              <w:rPr>
                <w:rFonts w:ascii="宋体" w:cs="Arial"/>
                <w:szCs w:val="21"/>
                <w:lang w:eastAsia="zh-CN"/>
              </w:rPr>
              <w:t>PQ</w:t>
            </w:r>
            <w:r>
              <w:rPr>
                <w:rFonts w:hint="eastAsia" w:ascii="宋体" w:cs="Arial"/>
                <w:szCs w:val="21"/>
                <w:lang w:eastAsia="zh-CN"/>
              </w:rPr>
              <w:t>。</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color w:val="000000" w:themeColor="text1"/>
                <w:szCs w:val="21"/>
              </w:rPr>
            </w:pPr>
          </w:p>
        </w:tc>
        <w:tc>
          <w:tcPr>
            <w:tcW w:w="7128" w:type="dxa"/>
            <w:shd w:val="clear" w:color="auto" w:fill="auto"/>
            <w:vAlign w:val="center"/>
          </w:tcPr>
          <w:p>
            <w:pPr>
              <w:spacing w:line="276" w:lineRule="auto"/>
              <w:jc w:val="both"/>
              <w:rPr>
                <w:rFonts w:ascii="宋体" w:hAnsi="宋体" w:cs="宋体"/>
                <w:color w:val="000000" w:themeColor="text1"/>
                <w:szCs w:val="21"/>
                <w:lang w:eastAsia="zh-CN"/>
              </w:rPr>
            </w:pPr>
            <w:r>
              <w:rPr>
                <w:rFonts w:hint="eastAsia" w:ascii="宋体" w:hAnsi="宋体" w:cs="宋体"/>
                <w:color w:val="000000" w:themeColor="text1"/>
                <w:szCs w:val="21"/>
                <w:lang w:eastAsia="zh-CN"/>
              </w:rPr>
              <w:t>需求追溯矩阵（RTM），验证总结报告（VSR）。</w:t>
            </w:r>
          </w:p>
        </w:tc>
        <w:tc>
          <w:tcPr>
            <w:tcW w:w="2125" w:type="dxa"/>
            <w:shd w:val="clear" w:color="auto" w:fill="auto"/>
            <w:vAlign w:val="center"/>
          </w:tcPr>
          <w:p>
            <w:pPr>
              <w:jc w:val="center"/>
              <w:rPr>
                <w:color w:val="000000" w:themeColor="text1"/>
                <w:szCs w:val="21"/>
                <w:lang w:eastAsia="zh-CN"/>
              </w:rPr>
            </w:pPr>
            <w:r>
              <w:rPr>
                <w:rFonts w:hint="eastAsia"/>
                <w:color w:val="000000" w:themeColor="text1"/>
                <w:szCs w:val="21"/>
                <w:lang w:eastAsia="zh-CN"/>
              </w:rPr>
              <w:t>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rFonts w:hint="eastAsia" w:ascii="宋体" w:cs="Arial"/>
                <w:szCs w:val="21"/>
                <w:lang w:eastAsia="zh-CN"/>
              </w:rPr>
              <w:t>投标方按</w:t>
            </w:r>
            <w:r>
              <w:rPr>
                <w:rFonts w:ascii="宋体" w:cs="Arial"/>
                <w:szCs w:val="21"/>
                <w:lang w:eastAsia="zh-CN"/>
              </w:rPr>
              <w:t>GMP</w:t>
            </w:r>
            <w:r>
              <w:rPr>
                <w:rFonts w:hint="eastAsia" w:ascii="宋体" w:cs="Arial"/>
                <w:szCs w:val="21"/>
                <w:lang w:eastAsia="zh-CN"/>
              </w:rPr>
              <w:t>规范及</w:t>
            </w:r>
            <w:r>
              <w:rPr>
                <w:rFonts w:ascii="宋体" w:cs="Arial"/>
                <w:szCs w:val="21"/>
                <w:lang w:eastAsia="zh-CN"/>
              </w:rPr>
              <w:t>GAMP5</w:t>
            </w:r>
            <w:r>
              <w:rPr>
                <w:rFonts w:hint="eastAsia" w:ascii="宋体" w:cs="Arial"/>
                <w:szCs w:val="21"/>
                <w:lang w:eastAsia="zh-CN"/>
              </w:rPr>
              <w:t>要求完成上述所有验证工作，并提供相应文件（文件必须符合我所</w:t>
            </w:r>
            <w:r>
              <w:rPr>
                <w:rFonts w:ascii="宋体" w:cs="Arial"/>
                <w:szCs w:val="21"/>
                <w:lang w:eastAsia="zh-CN"/>
              </w:rPr>
              <w:t>QA</w:t>
            </w:r>
            <w:r>
              <w:rPr>
                <w:rFonts w:hint="eastAsia" w:ascii="宋体" w:cs="Arial"/>
                <w:szCs w:val="21"/>
                <w:lang w:eastAsia="zh-CN"/>
              </w:rPr>
              <w:t>要求）。各验证工作开始前验证方案需经过本公司相关部门审核，并经质量保证部批准。</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rFonts w:hint="eastAsia" w:ascii="宋体" w:cs="Arial"/>
                <w:szCs w:val="21"/>
                <w:lang w:eastAsia="zh-CN"/>
              </w:rPr>
              <w:t>验证工作应按时保质完成，供应商需提供验证工作计划表。</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rFonts w:hint="eastAsia" w:ascii="宋体" w:cs="Arial"/>
                <w:szCs w:val="21"/>
                <w:lang w:eastAsia="zh-CN"/>
              </w:rPr>
              <w:t>验证项目应包含法规要求的测试项目，以及本公司提出的测试项目。</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rFonts w:hint="eastAsia" w:ascii="宋体" w:cs="Arial"/>
                <w:szCs w:val="21"/>
                <w:lang w:eastAsia="zh-CN"/>
              </w:rPr>
              <w:t>验证工作完成后，验证记录经本公司相关部门审核，并经质量保证部批准。</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rFonts w:hint="eastAsia" w:ascii="宋体" w:cs="Arial"/>
                <w:szCs w:val="21"/>
                <w:lang w:eastAsia="zh-CN"/>
              </w:rPr>
              <w:t>验收前，验证工作已成功完成，验证最终报告已经本公司相关部门审核，并经质量保证部批准。</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rFonts w:ascii="宋体" w:cs="Arial"/>
                <w:szCs w:val="21"/>
                <w:lang w:eastAsia="zh-CN"/>
              </w:rPr>
              <w:t>PQ</w:t>
            </w:r>
            <w:r>
              <w:rPr>
                <w:rFonts w:hint="eastAsia" w:ascii="宋体" w:cs="Arial"/>
                <w:szCs w:val="21"/>
                <w:lang w:eastAsia="zh-CN"/>
              </w:rPr>
              <w:t>由供应商协助我公司完成。</w:t>
            </w:r>
          </w:p>
        </w:tc>
        <w:tc>
          <w:tcPr>
            <w:tcW w:w="2125" w:type="dxa"/>
            <w:shd w:val="clear" w:color="auto" w:fill="auto"/>
            <w:vAlign w:val="center"/>
          </w:tcPr>
          <w:p>
            <w:pPr>
              <w:jc w:val="center"/>
              <w:rPr>
                <w:szCs w:val="21"/>
                <w:lang w:eastAsia="zh-CN"/>
              </w:rPr>
            </w:pPr>
            <w:r>
              <w:rPr>
                <w:rFonts w:hint="eastAsia" w:ascii="宋体" w:hAnsi="宋体" w:cs="Arial"/>
                <w:szCs w:val="21"/>
                <w:lang w:eastAsia="zh-CN"/>
              </w:rPr>
              <w:t>关键</w:t>
            </w:r>
          </w:p>
        </w:tc>
      </w:tr>
      <w:permEnd w:id="4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rPr>
              <w:t>售后服务及备件要求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45" w:edGrp="everyone"/>
          </w:p>
        </w:tc>
        <w:tc>
          <w:tcPr>
            <w:tcW w:w="7128" w:type="dxa"/>
            <w:shd w:val="clear" w:color="auto" w:fill="auto"/>
            <w:vAlign w:val="center"/>
          </w:tcPr>
          <w:p>
            <w:pPr>
              <w:spacing w:line="276" w:lineRule="auto"/>
              <w:jc w:val="both"/>
              <w:rPr>
                <w:szCs w:val="21"/>
                <w:lang w:eastAsia="zh-CN"/>
              </w:rPr>
            </w:pPr>
            <w:r>
              <w:rPr>
                <w:rFonts w:hint="eastAsia" w:ascii="宋体" w:cs="Arial"/>
                <w:szCs w:val="21"/>
                <w:lang w:eastAsia="zh-CN"/>
              </w:rPr>
              <w:t>设备保质期从确认验收文件签署之后开始计算。</w:t>
            </w:r>
          </w:p>
        </w:tc>
        <w:tc>
          <w:tcPr>
            <w:tcW w:w="2125" w:type="dxa"/>
            <w:shd w:val="clear" w:color="auto" w:fill="auto"/>
            <w:vAlign w:val="center"/>
          </w:tcPr>
          <w:p>
            <w:pPr>
              <w:jc w:val="center"/>
              <w:rPr>
                <w:szCs w:val="21"/>
                <w:lang w:eastAsia="zh-CN"/>
              </w:rPr>
            </w:pPr>
            <w:r>
              <w:rPr>
                <w:rFonts w:hint="eastAsia" w:ascii="宋体" w:hAnsi="宋体" w:cs="Arial"/>
                <w:szCs w:val="21"/>
                <w:lang w:eastAsia="zh-CN"/>
              </w:rPr>
              <w:t>关键</w:t>
            </w:r>
            <w:r>
              <w:rPr>
                <w:rFonts w:hint="eastAsia"/>
                <w:szCs w:val="21"/>
                <w:lang w:eastAsia="zh-CN"/>
              </w:rPr>
              <w:t>※</w:t>
            </w:r>
          </w:p>
        </w:tc>
      </w:tr>
      <w:perm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46" w:edGrp="everyone"/>
          </w:p>
        </w:tc>
        <w:tc>
          <w:tcPr>
            <w:tcW w:w="7128" w:type="dxa"/>
            <w:shd w:val="clear" w:color="auto" w:fill="auto"/>
            <w:vAlign w:val="center"/>
          </w:tcPr>
          <w:p>
            <w:pPr>
              <w:spacing w:line="276" w:lineRule="auto"/>
              <w:jc w:val="both"/>
              <w:rPr>
                <w:szCs w:val="21"/>
                <w:lang w:eastAsia="zh-CN"/>
              </w:rPr>
            </w:pPr>
            <w:r>
              <w:rPr>
                <w:rFonts w:hint="eastAsia" w:ascii="宋体" w:cs="Arial"/>
                <w:szCs w:val="21"/>
                <w:lang w:eastAsia="zh-CN"/>
              </w:rPr>
              <w:t>设备整机质保期为</w:t>
            </w:r>
            <w:r>
              <w:rPr>
                <w:rFonts w:ascii="宋体" w:cs="Arial"/>
                <w:szCs w:val="21"/>
                <w:lang w:eastAsia="zh-CN"/>
              </w:rPr>
              <w:t>2</w:t>
            </w:r>
            <w:r>
              <w:rPr>
                <w:rFonts w:hint="eastAsia" w:ascii="宋体" w:cs="Arial"/>
                <w:szCs w:val="21"/>
                <w:lang w:eastAsia="zh-CN"/>
              </w:rPr>
              <w:t>年，保质期内免费保修并免费更换所有配件，保质期后应提供良好的售后服务</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rFonts w:hint="eastAsia" w:ascii="宋体" w:cs="Arial"/>
                <w:szCs w:val="21"/>
                <w:lang w:eastAsia="zh-CN"/>
              </w:rPr>
              <w:t>售后服务必须响应及时，要求仪器出现须厂家维修的故障后，应在</w:t>
            </w:r>
            <w:r>
              <w:rPr>
                <w:rFonts w:ascii="宋体" w:cs="Arial"/>
                <w:szCs w:val="21"/>
                <w:lang w:eastAsia="zh-CN"/>
              </w:rPr>
              <w:t>4</w:t>
            </w:r>
            <w:r>
              <w:rPr>
                <w:rFonts w:hint="eastAsia" w:ascii="宋体" w:cs="Arial"/>
                <w:szCs w:val="21"/>
                <w:lang w:eastAsia="zh-CN"/>
              </w:rPr>
              <w:t>小时内明确答复，当电话沟通无法解决时，须</w:t>
            </w:r>
            <w:r>
              <w:rPr>
                <w:rFonts w:ascii="宋体" w:cs="Arial"/>
                <w:szCs w:val="21"/>
                <w:lang w:eastAsia="zh-CN"/>
              </w:rPr>
              <w:t>24</w:t>
            </w:r>
            <w:r>
              <w:rPr>
                <w:rFonts w:hint="eastAsia" w:ascii="宋体" w:cs="Arial"/>
                <w:szCs w:val="21"/>
                <w:lang w:eastAsia="zh-CN"/>
              </w:rPr>
              <w:t>小时内派人至现场解决。</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rFonts w:hint="eastAsia" w:ascii="宋体" w:cs="Arial"/>
                <w:szCs w:val="21"/>
                <w:lang w:eastAsia="zh-CN"/>
              </w:rPr>
              <w:t>免费保修期后，厂家应终生提供及时的维修、维护，厂家应定期回访，解决仪器运行当中可能出现的疑问，排除潜在故障，使设备保持良好工作状态。</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rFonts w:hint="eastAsia" w:ascii="宋体" w:cs="Arial"/>
                <w:szCs w:val="21"/>
                <w:lang w:eastAsia="zh-CN"/>
              </w:rPr>
              <w:t>供应商可以提供所有合格的备件，用于设备相应部件的维修、更换。</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4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47" w:edGrp="everyone"/>
          </w:p>
        </w:tc>
        <w:tc>
          <w:tcPr>
            <w:tcW w:w="7128" w:type="dxa"/>
            <w:shd w:val="clear" w:color="auto" w:fill="auto"/>
            <w:vAlign w:val="center"/>
          </w:tcPr>
          <w:p>
            <w:pPr>
              <w:spacing w:line="276" w:lineRule="auto"/>
              <w:jc w:val="both"/>
              <w:rPr>
                <w:szCs w:val="21"/>
                <w:lang w:eastAsia="zh-CN"/>
              </w:rPr>
            </w:pPr>
            <w:r>
              <w:rPr>
                <w:rFonts w:hint="eastAsia" w:ascii="宋体" w:cs="Arial"/>
                <w:szCs w:val="21"/>
                <w:lang w:eastAsia="zh-CN"/>
              </w:rPr>
              <w:t>货物到达买方使用现场后，由买卖双方共同验收，卖方工程师免费为买方提供调试。</w:t>
            </w:r>
          </w:p>
        </w:tc>
        <w:tc>
          <w:tcPr>
            <w:tcW w:w="2125" w:type="dxa"/>
            <w:shd w:val="clear" w:color="auto" w:fill="auto"/>
            <w:vAlign w:val="center"/>
          </w:tcPr>
          <w:p>
            <w:pPr>
              <w:jc w:val="center"/>
              <w:rPr>
                <w:szCs w:val="21"/>
                <w:lang w:eastAsia="zh-CN"/>
              </w:rPr>
            </w:pPr>
            <w:r>
              <w:rPr>
                <w:rFonts w:hint="eastAsia" w:ascii="宋体" w:hAnsi="宋体" w:cs="Arial"/>
                <w:szCs w:val="21"/>
                <w:lang w:eastAsia="zh-CN"/>
              </w:rPr>
              <w:t>关键</w:t>
            </w:r>
          </w:p>
        </w:tc>
      </w:tr>
      <w:perm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48" w:edGrp="everyone"/>
          </w:p>
        </w:tc>
        <w:tc>
          <w:tcPr>
            <w:tcW w:w="7128" w:type="dxa"/>
            <w:shd w:val="clear" w:color="auto" w:fill="auto"/>
            <w:vAlign w:val="center"/>
          </w:tcPr>
          <w:p>
            <w:pPr>
              <w:spacing w:line="276" w:lineRule="auto"/>
              <w:jc w:val="both"/>
              <w:rPr>
                <w:szCs w:val="21"/>
                <w:lang w:eastAsia="zh-CN"/>
              </w:rPr>
            </w:pPr>
            <w:r>
              <w:rPr>
                <w:rFonts w:hint="eastAsia" w:ascii="宋体" w:cs="Arial"/>
                <w:szCs w:val="21"/>
                <w:lang w:eastAsia="zh-CN"/>
              </w:rPr>
              <w:t>供应商进厂安装需遵守施工和施工规定。</w:t>
            </w:r>
          </w:p>
        </w:tc>
        <w:tc>
          <w:tcPr>
            <w:tcW w:w="2125" w:type="dxa"/>
            <w:shd w:val="clear" w:color="auto" w:fill="auto"/>
            <w:vAlign w:val="center"/>
          </w:tcPr>
          <w:p>
            <w:pPr>
              <w:jc w:val="center"/>
              <w:rPr>
                <w:szCs w:val="21"/>
                <w:lang w:eastAsia="zh-CN"/>
              </w:rPr>
            </w:pPr>
            <w:r>
              <w:rPr>
                <w:rFonts w:hint="eastAsia" w:ascii="宋体" w:hAnsi="宋体" w:cs="Arial"/>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360" w:lineRule="auto"/>
              <w:jc w:val="both"/>
              <w:rPr>
                <w:rFonts w:ascii="宋体" w:cs="Arial"/>
                <w:szCs w:val="21"/>
                <w:lang w:eastAsia="zh-CN"/>
              </w:rPr>
            </w:pPr>
            <w:r>
              <w:rPr>
                <w:rFonts w:hint="eastAsia" w:ascii="宋体" w:cs="Arial"/>
                <w:szCs w:val="21"/>
                <w:lang w:eastAsia="zh-CN"/>
              </w:rPr>
              <w:t>确认调试验收合格后，买卖双方签订验收报告。</w:t>
            </w:r>
          </w:p>
        </w:tc>
        <w:tc>
          <w:tcPr>
            <w:tcW w:w="2125" w:type="dxa"/>
            <w:shd w:val="clear" w:color="auto" w:fill="auto"/>
          </w:tcPr>
          <w:p>
            <w:pPr>
              <w:jc w:val="center"/>
            </w:pPr>
            <w:r>
              <w:rPr>
                <w:rFonts w:hint="eastAsia" w:ascii="宋体" w:hAnsi="宋体" w:cs="Arial"/>
                <w:szCs w:val="21"/>
                <w:lang w:eastAsia="zh-CN"/>
              </w:rPr>
              <w:t>关键</w:t>
            </w:r>
          </w:p>
        </w:tc>
      </w:tr>
      <w:permEnd w:id="48"/>
    </w:tbl>
    <w:p/>
    <w:p>
      <w:pPr>
        <w:pStyle w:val="31"/>
        <w:numPr>
          <w:ilvl w:val="0"/>
          <w:numId w:val="3"/>
        </w:numPr>
        <w:spacing w:after="158" w:afterLines="50"/>
        <w:ind w:left="426" w:hanging="426" w:hangingChars="202"/>
        <w:outlineLvl w:val="0"/>
        <w:rPr>
          <w:rFonts w:ascii="Times New Roman" w:hAnsi="Times New Roman"/>
          <w:b/>
        </w:rPr>
      </w:pPr>
      <w:bookmarkStart w:id="45" w:name="_Toc522107746"/>
      <w:bookmarkStart w:id="46" w:name="_Toc522716126"/>
      <w:r>
        <w:rPr>
          <w:rFonts w:ascii="Times New Roman" w:hAnsi="Times New Roman"/>
          <w:b/>
        </w:rPr>
        <w:t>附件</w:t>
      </w:r>
      <w:bookmarkEnd w:id="45"/>
      <w:bookmarkEnd w:id="46"/>
    </w:p>
    <w:bookmarkEnd w:id="29"/>
    <w:bookmarkEnd w:id="30"/>
    <w:bookmarkEnd w:id="31"/>
    <w:bookmarkEnd w:id="32"/>
    <w:bookmarkEnd w:id="33"/>
    <w:bookmarkEnd w:id="34"/>
    <w:bookmarkEnd w:id="35"/>
    <w:bookmarkEnd w:id="36"/>
    <w:bookmarkEnd w:id="37"/>
    <w:bookmarkEnd w:id="38"/>
    <w:bookmarkEnd w:id="39"/>
    <w:bookmarkEnd w:id="40"/>
    <w:p>
      <w:pPr>
        <w:pStyle w:val="41"/>
        <w:spacing w:before="0" w:line="360" w:lineRule="auto"/>
        <w:ind w:left="425"/>
        <w:jc w:val="center"/>
        <w:rPr>
          <w:szCs w:val="21"/>
          <w:lang w:eastAsia="zh-CN"/>
        </w:rPr>
      </w:pPr>
      <w:permStart w:id="49" w:edGrp="everyone"/>
      <w:r>
        <w:rPr>
          <w:szCs w:val="21"/>
          <w:lang w:eastAsia="zh-CN"/>
        </w:rPr>
        <w:t>关键部件品牌</w:t>
      </w:r>
    </w:p>
    <w:p>
      <w:pPr>
        <w:pStyle w:val="41"/>
        <w:spacing w:before="0" w:line="360" w:lineRule="auto"/>
        <w:ind w:left="425"/>
        <w:jc w:val="center"/>
        <w:rPr>
          <w:szCs w:val="21"/>
          <w:lang w:eastAsia="zh-CN"/>
        </w:rPr>
      </w:pPr>
      <w:r>
        <w:rPr>
          <w:rFonts w:hint="eastAsia"/>
          <w:szCs w:val="21"/>
          <w:lang w:eastAsia="zh-CN"/>
        </w:rPr>
        <w:t>备注：所有配件均为标准品牌</w:t>
      </w:r>
    </w:p>
    <w:tbl>
      <w:tblPr>
        <w:tblStyle w:val="19"/>
        <w:tblW w:w="10201" w:type="dxa"/>
        <w:jc w:val="center"/>
        <w:tblLayout w:type="fixed"/>
        <w:tblCellMar>
          <w:top w:w="0" w:type="dxa"/>
          <w:left w:w="108" w:type="dxa"/>
          <w:bottom w:w="0" w:type="dxa"/>
          <w:right w:w="108" w:type="dxa"/>
        </w:tblCellMar>
      </w:tblPr>
      <w:tblGrid>
        <w:gridCol w:w="2155"/>
        <w:gridCol w:w="3794"/>
        <w:gridCol w:w="4252"/>
      </w:tblGrid>
      <w:tr>
        <w:tblPrEx>
          <w:tblCellMar>
            <w:top w:w="0" w:type="dxa"/>
            <w:left w:w="108" w:type="dxa"/>
            <w:bottom w:w="0" w:type="dxa"/>
            <w:right w:w="108" w:type="dxa"/>
          </w:tblCellMar>
        </w:tblPrEx>
        <w:trPr>
          <w:trHeight w:val="570" w:hRule="atLeast"/>
          <w:tblHeader/>
          <w:jc w:val="center"/>
        </w:trPr>
        <w:tc>
          <w:tcPr>
            <w:tcW w:w="215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41"/>
              <w:ind w:left="357"/>
              <w:jc w:val="left"/>
              <w:rPr>
                <w:b/>
                <w:bCs/>
                <w:szCs w:val="21"/>
                <w:lang w:val="en-GB" w:eastAsia="zh-CN"/>
              </w:rPr>
            </w:pPr>
            <w:r>
              <w:rPr>
                <w:b/>
                <w:bCs/>
                <w:szCs w:val="21"/>
                <w:lang w:val="en-GB" w:eastAsia="zh-CN"/>
              </w:rPr>
              <w:t>设备名称</w:t>
            </w:r>
          </w:p>
        </w:tc>
        <w:tc>
          <w:tcPr>
            <w:tcW w:w="3794"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41"/>
              <w:ind w:left="357"/>
              <w:jc w:val="left"/>
              <w:rPr>
                <w:b/>
                <w:bCs/>
                <w:szCs w:val="21"/>
                <w:lang w:val="en-GB" w:eastAsia="zh-CN"/>
              </w:rPr>
            </w:pPr>
            <w:r>
              <w:rPr>
                <w:b/>
                <w:bCs/>
                <w:szCs w:val="21"/>
                <w:lang w:val="en-GB" w:eastAsia="zh-CN"/>
              </w:rPr>
              <w:t>品牌</w:t>
            </w:r>
            <w:r>
              <w:rPr>
                <w:rFonts w:hint="eastAsia"/>
                <w:b/>
                <w:bCs/>
                <w:szCs w:val="21"/>
                <w:lang w:val="en-GB" w:eastAsia="zh-CN"/>
              </w:rPr>
              <w:t>范围</w:t>
            </w:r>
          </w:p>
        </w:tc>
        <w:tc>
          <w:tcPr>
            <w:tcW w:w="4252"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41"/>
              <w:ind w:left="357"/>
              <w:jc w:val="left"/>
              <w:rPr>
                <w:b/>
                <w:bCs/>
                <w:szCs w:val="21"/>
                <w:lang w:val="en-GB" w:eastAsia="zh-CN"/>
              </w:rPr>
            </w:pPr>
            <w:r>
              <w:rPr>
                <w:b/>
                <w:bCs/>
                <w:szCs w:val="21"/>
                <w:lang w:val="en-GB" w:eastAsia="zh-CN"/>
              </w:rPr>
              <w:t>技术要求</w:t>
            </w:r>
          </w:p>
        </w:tc>
      </w:tr>
      <w:tr>
        <w:tblPrEx>
          <w:tblCellMar>
            <w:top w:w="0" w:type="dxa"/>
            <w:left w:w="108" w:type="dxa"/>
            <w:bottom w:w="0" w:type="dxa"/>
            <w:right w:w="108" w:type="dxa"/>
          </w:tblCellMar>
        </w:tblPrEx>
        <w:trPr>
          <w:trHeight w:val="315" w:hRule="atLeast"/>
          <w:jc w:val="center"/>
        </w:trPr>
        <w:tc>
          <w:tcPr>
            <w:tcW w:w="2155" w:type="dxa"/>
            <w:tcBorders>
              <w:top w:val="nil"/>
              <w:left w:val="single" w:color="auto" w:sz="4" w:space="0"/>
              <w:bottom w:val="single" w:color="auto" w:sz="4" w:space="0"/>
              <w:right w:val="single" w:color="auto" w:sz="4" w:space="0"/>
            </w:tcBorders>
            <w:vAlign w:val="center"/>
          </w:tcPr>
          <w:p>
            <w:pPr>
              <w:pStyle w:val="41"/>
              <w:ind w:left="357"/>
              <w:jc w:val="left"/>
              <w:rPr>
                <w:szCs w:val="21"/>
                <w:lang w:val="en-GB" w:eastAsia="zh-CN"/>
              </w:rPr>
            </w:pPr>
            <w:r>
              <w:rPr>
                <w:rFonts w:hint="eastAsia"/>
                <w:szCs w:val="21"/>
                <w:lang w:val="en-GB" w:eastAsia="zh-CN"/>
              </w:rPr>
              <w:t>柜体</w:t>
            </w:r>
          </w:p>
        </w:tc>
        <w:tc>
          <w:tcPr>
            <w:tcW w:w="3794" w:type="dxa"/>
            <w:tcBorders>
              <w:top w:val="nil"/>
              <w:left w:val="nil"/>
              <w:bottom w:val="single" w:color="auto" w:sz="4" w:space="0"/>
              <w:right w:val="single" w:color="auto" w:sz="4" w:space="0"/>
            </w:tcBorders>
            <w:vAlign w:val="center"/>
          </w:tcPr>
          <w:p>
            <w:pPr>
              <w:pStyle w:val="41"/>
              <w:ind w:left="357"/>
              <w:rPr>
                <w:szCs w:val="21"/>
                <w:lang w:val="en-GB" w:eastAsia="zh-CN"/>
              </w:rPr>
            </w:pPr>
            <w:r>
              <w:rPr>
                <w:rFonts w:hint="eastAsia"/>
                <w:szCs w:val="21"/>
                <w:lang w:val="en-GB" w:eastAsia="zh-CN"/>
              </w:rPr>
              <w:t>太钢、宝钢、奥托昆普</w:t>
            </w:r>
          </w:p>
        </w:tc>
        <w:tc>
          <w:tcPr>
            <w:tcW w:w="4252" w:type="dxa"/>
            <w:tcBorders>
              <w:top w:val="nil"/>
              <w:left w:val="nil"/>
              <w:bottom w:val="single" w:color="auto" w:sz="4" w:space="0"/>
              <w:right w:val="single" w:color="auto" w:sz="4" w:space="0"/>
            </w:tcBorders>
            <w:vAlign w:val="center"/>
          </w:tcPr>
          <w:p>
            <w:pPr>
              <w:pStyle w:val="41"/>
              <w:ind w:left="357"/>
              <w:rPr>
                <w:szCs w:val="21"/>
                <w:lang w:val="en-GB" w:eastAsia="zh-CN"/>
              </w:rPr>
            </w:pPr>
            <w:r>
              <w:rPr>
                <w:bCs/>
                <w:szCs w:val="21"/>
                <w:lang w:val="en-GB" w:eastAsia="zh-CN"/>
              </w:rPr>
              <w:t>316L</w:t>
            </w:r>
            <w:r>
              <w:rPr>
                <w:rFonts w:hint="eastAsia"/>
                <w:szCs w:val="21"/>
                <w:lang w:val="en-GB" w:eastAsia="zh-CN"/>
              </w:rPr>
              <w:t>不锈钢</w:t>
            </w:r>
          </w:p>
        </w:tc>
      </w:tr>
      <w:tr>
        <w:tblPrEx>
          <w:tblCellMar>
            <w:top w:w="0" w:type="dxa"/>
            <w:left w:w="108" w:type="dxa"/>
            <w:bottom w:w="0" w:type="dxa"/>
            <w:right w:w="108" w:type="dxa"/>
          </w:tblCellMar>
        </w:tblPrEx>
        <w:trPr>
          <w:trHeight w:val="315" w:hRule="atLeast"/>
          <w:jc w:val="center"/>
        </w:trPr>
        <w:tc>
          <w:tcPr>
            <w:tcW w:w="2155" w:type="dxa"/>
            <w:tcBorders>
              <w:top w:val="nil"/>
              <w:left w:val="single" w:color="auto" w:sz="4" w:space="0"/>
              <w:bottom w:val="single" w:color="auto" w:sz="4" w:space="0"/>
              <w:right w:val="single" w:color="auto" w:sz="4" w:space="0"/>
            </w:tcBorders>
            <w:vAlign w:val="center"/>
          </w:tcPr>
          <w:p>
            <w:pPr>
              <w:pStyle w:val="41"/>
              <w:ind w:left="357"/>
              <w:jc w:val="left"/>
              <w:rPr>
                <w:color w:val="000000" w:themeColor="text1"/>
                <w:szCs w:val="21"/>
                <w:lang w:val="en-GB" w:eastAsia="zh-CN"/>
              </w:rPr>
            </w:pPr>
            <w:r>
              <w:rPr>
                <w:rFonts w:hint="eastAsia"/>
                <w:color w:val="000000" w:themeColor="text1"/>
                <w:szCs w:val="21"/>
                <w:lang w:val="en-GB" w:eastAsia="zh-CN"/>
              </w:rPr>
              <w:t>工艺管路</w:t>
            </w:r>
          </w:p>
        </w:tc>
        <w:tc>
          <w:tcPr>
            <w:tcW w:w="3794" w:type="dxa"/>
            <w:tcBorders>
              <w:top w:val="nil"/>
              <w:left w:val="nil"/>
              <w:bottom w:val="single" w:color="auto" w:sz="4" w:space="0"/>
              <w:right w:val="single" w:color="auto" w:sz="4" w:space="0"/>
            </w:tcBorders>
            <w:vAlign w:val="center"/>
          </w:tcPr>
          <w:p>
            <w:pPr>
              <w:pStyle w:val="41"/>
              <w:ind w:left="357"/>
              <w:rPr>
                <w:color w:val="000000" w:themeColor="text1"/>
                <w:szCs w:val="21"/>
                <w:lang w:val="en-GB" w:eastAsia="zh-CN"/>
              </w:rPr>
            </w:pPr>
            <w:r>
              <w:rPr>
                <w:rFonts w:hint="eastAsia"/>
                <w:color w:val="000000" w:themeColor="text1"/>
                <w:szCs w:val="21"/>
                <w:lang w:val="en-GB" w:eastAsia="zh-CN"/>
              </w:rPr>
              <w:t>新莱、</w:t>
            </w:r>
            <w:r>
              <w:rPr>
                <w:color w:val="000000" w:themeColor="text1"/>
                <w:szCs w:val="21"/>
                <w:lang w:val="en-GB" w:eastAsia="zh-CN"/>
              </w:rPr>
              <w:t>CSE</w:t>
            </w:r>
            <w:r>
              <w:rPr>
                <w:rFonts w:hint="eastAsia"/>
                <w:color w:val="000000" w:themeColor="text1"/>
                <w:szCs w:val="21"/>
                <w:lang w:val="en-GB" w:eastAsia="zh-CN"/>
              </w:rPr>
              <w:t>、</w:t>
            </w:r>
            <w:r>
              <w:rPr>
                <w:color w:val="000000" w:themeColor="text1"/>
                <w:szCs w:val="21"/>
                <w:lang w:val="en-GB" w:eastAsia="zh-CN"/>
              </w:rPr>
              <w:t>NEUMO</w:t>
            </w:r>
            <w:r>
              <w:rPr>
                <w:rFonts w:hint="eastAsia"/>
                <w:color w:val="000000" w:themeColor="text1"/>
                <w:szCs w:val="21"/>
                <w:lang w:val="en-GB" w:eastAsia="zh-CN"/>
              </w:rPr>
              <w:t>（诺盟）</w:t>
            </w:r>
          </w:p>
        </w:tc>
        <w:tc>
          <w:tcPr>
            <w:tcW w:w="4252" w:type="dxa"/>
            <w:tcBorders>
              <w:top w:val="nil"/>
              <w:left w:val="nil"/>
              <w:bottom w:val="single" w:color="auto" w:sz="4" w:space="0"/>
              <w:right w:val="single" w:color="auto" w:sz="4" w:space="0"/>
            </w:tcBorders>
            <w:vAlign w:val="center"/>
          </w:tcPr>
          <w:p>
            <w:pPr>
              <w:pStyle w:val="41"/>
              <w:ind w:left="357"/>
              <w:rPr>
                <w:color w:val="000000" w:themeColor="text1"/>
                <w:szCs w:val="21"/>
                <w:lang w:val="en-GB" w:eastAsia="zh-CN"/>
              </w:rPr>
            </w:pPr>
            <w:r>
              <w:rPr>
                <w:rFonts w:hint="eastAsia"/>
                <w:bCs/>
                <w:color w:val="000000" w:themeColor="text1"/>
                <w:szCs w:val="21"/>
                <w:lang w:val="en-GB" w:eastAsia="zh-CN"/>
              </w:rPr>
              <w:t>工艺管道材质</w:t>
            </w:r>
            <w:r>
              <w:rPr>
                <w:bCs/>
                <w:color w:val="000000" w:themeColor="text1"/>
                <w:szCs w:val="21"/>
                <w:lang w:val="en-GB" w:eastAsia="zh-CN"/>
              </w:rPr>
              <w:t>316L</w:t>
            </w:r>
            <w:r>
              <w:rPr>
                <w:rFonts w:hint="eastAsia"/>
                <w:color w:val="000000" w:themeColor="text1"/>
                <w:szCs w:val="21"/>
                <w:lang w:val="en-GB" w:eastAsia="zh-CN"/>
              </w:rPr>
              <w:t>不锈钢</w:t>
            </w:r>
            <w:r>
              <w:rPr>
                <w:rFonts w:hint="eastAsia"/>
                <w:bCs/>
                <w:color w:val="000000" w:themeColor="text1"/>
                <w:szCs w:val="21"/>
                <w:lang w:val="en-GB" w:eastAsia="zh-CN"/>
              </w:rPr>
              <w:t>，符合</w:t>
            </w:r>
            <w:r>
              <w:rPr>
                <w:bCs/>
                <w:color w:val="000000" w:themeColor="text1"/>
                <w:szCs w:val="21"/>
                <w:lang w:val="en-GB" w:eastAsia="zh-CN"/>
              </w:rPr>
              <w:t>ASME BPE</w:t>
            </w:r>
            <w:r>
              <w:rPr>
                <w:rFonts w:hint="eastAsia"/>
                <w:bCs/>
                <w:color w:val="000000" w:themeColor="text1"/>
                <w:szCs w:val="21"/>
                <w:lang w:val="en-GB" w:eastAsia="zh-CN"/>
              </w:rPr>
              <w:t>标准</w:t>
            </w:r>
          </w:p>
        </w:tc>
      </w:tr>
      <w:tr>
        <w:tblPrEx>
          <w:tblCellMar>
            <w:top w:w="0" w:type="dxa"/>
            <w:left w:w="108" w:type="dxa"/>
            <w:bottom w:w="0" w:type="dxa"/>
            <w:right w:w="108" w:type="dxa"/>
          </w:tblCellMar>
        </w:tblPrEx>
        <w:trPr>
          <w:trHeight w:val="315" w:hRule="atLeast"/>
          <w:jc w:val="center"/>
        </w:trPr>
        <w:tc>
          <w:tcPr>
            <w:tcW w:w="2155" w:type="dxa"/>
            <w:tcBorders>
              <w:top w:val="nil"/>
              <w:left w:val="single" w:color="auto" w:sz="4" w:space="0"/>
              <w:bottom w:val="single" w:color="auto" w:sz="4" w:space="0"/>
              <w:right w:val="single" w:color="auto" w:sz="4" w:space="0"/>
            </w:tcBorders>
            <w:vAlign w:val="center"/>
          </w:tcPr>
          <w:p>
            <w:pPr>
              <w:pStyle w:val="41"/>
              <w:ind w:left="357"/>
              <w:jc w:val="left"/>
              <w:rPr>
                <w:color w:val="000000" w:themeColor="text1"/>
                <w:szCs w:val="21"/>
                <w:lang w:val="en-GB" w:eastAsia="zh-CN"/>
              </w:rPr>
            </w:pPr>
            <w:r>
              <w:rPr>
                <w:rFonts w:hint="eastAsia"/>
                <w:color w:val="000000" w:themeColor="text1"/>
                <w:szCs w:val="21"/>
                <w:lang w:val="en-GB" w:eastAsia="zh-CN"/>
              </w:rPr>
              <w:t>工业管道</w:t>
            </w:r>
          </w:p>
        </w:tc>
        <w:tc>
          <w:tcPr>
            <w:tcW w:w="3794" w:type="dxa"/>
            <w:tcBorders>
              <w:top w:val="nil"/>
              <w:left w:val="nil"/>
              <w:bottom w:val="single" w:color="auto" w:sz="4" w:space="0"/>
              <w:right w:val="single" w:color="auto" w:sz="4" w:space="0"/>
            </w:tcBorders>
            <w:vAlign w:val="center"/>
          </w:tcPr>
          <w:p>
            <w:pPr>
              <w:pStyle w:val="41"/>
              <w:ind w:left="357"/>
              <w:rPr>
                <w:color w:val="000000" w:themeColor="text1"/>
                <w:szCs w:val="21"/>
                <w:lang w:val="en-GB" w:eastAsia="zh-CN"/>
              </w:rPr>
            </w:pPr>
            <w:r>
              <w:rPr>
                <w:rFonts w:hint="eastAsia"/>
                <w:color w:val="000000" w:themeColor="text1"/>
                <w:szCs w:val="21"/>
                <w:lang w:val="en-GB" w:eastAsia="zh-CN"/>
              </w:rPr>
              <w:t>新莱、四方、</w:t>
            </w:r>
            <w:r>
              <w:rPr>
                <w:color w:val="000000" w:themeColor="text1"/>
                <w:szCs w:val="21"/>
                <w:lang w:val="en-GB" w:eastAsia="zh-CN"/>
              </w:rPr>
              <w:t>CSE</w:t>
            </w:r>
          </w:p>
        </w:tc>
        <w:tc>
          <w:tcPr>
            <w:tcW w:w="4252" w:type="dxa"/>
            <w:tcBorders>
              <w:top w:val="nil"/>
              <w:left w:val="nil"/>
              <w:bottom w:val="single" w:color="auto" w:sz="4" w:space="0"/>
              <w:right w:val="single" w:color="auto" w:sz="4" w:space="0"/>
            </w:tcBorders>
            <w:vAlign w:val="center"/>
          </w:tcPr>
          <w:p>
            <w:pPr>
              <w:pStyle w:val="41"/>
              <w:ind w:left="357"/>
              <w:rPr>
                <w:bCs/>
                <w:color w:val="000000" w:themeColor="text1"/>
                <w:szCs w:val="21"/>
                <w:lang w:val="en-GB" w:eastAsia="zh-CN"/>
              </w:rPr>
            </w:pPr>
            <w:r>
              <w:rPr>
                <w:bCs/>
                <w:color w:val="000000" w:themeColor="text1"/>
                <w:szCs w:val="21"/>
                <w:lang w:val="en-GB" w:eastAsia="zh-CN"/>
              </w:rPr>
              <w:t>304</w:t>
            </w:r>
            <w:r>
              <w:rPr>
                <w:rFonts w:hint="eastAsia"/>
                <w:bCs/>
                <w:color w:val="000000" w:themeColor="text1"/>
                <w:szCs w:val="21"/>
                <w:lang w:val="en-GB" w:eastAsia="zh-CN"/>
              </w:rPr>
              <w:t>不锈钢，夹套连接管路以及系统排水管路等</w:t>
            </w:r>
          </w:p>
        </w:tc>
      </w:tr>
      <w:tr>
        <w:tblPrEx>
          <w:tblCellMar>
            <w:top w:w="0" w:type="dxa"/>
            <w:left w:w="108" w:type="dxa"/>
            <w:bottom w:w="0" w:type="dxa"/>
            <w:right w:w="108" w:type="dxa"/>
          </w:tblCellMar>
        </w:tblPrEx>
        <w:trPr>
          <w:trHeight w:val="315" w:hRule="atLeast"/>
          <w:jc w:val="center"/>
        </w:trPr>
        <w:tc>
          <w:tcPr>
            <w:tcW w:w="2155" w:type="dxa"/>
            <w:tcBorders>
              <w:top w:val="nil"/>
              <w:left w:val="single" w:color="auto" w:sz="4" w:space="0"/>
              <w:bottom w:val="single" w:color="auto" w:sz="4" w:space="0"/>
              <w:right w:val="single" w:color="auto" w:sz="4" w:space="0"/>
            </w:tcBorders>
            <w:vAlign w:val="center"/>
          </w:tcPr>
          <w:p>
            <w:pPr>
              <w:pStyle w:val="41"/>
              <w:spacing w:line="360" w:lineRule="auto"/>
              <w:ind w:left="357"/>
              <w:jc w:val="left"/>
              <w:rPr>
                <w:szCs w:val="21"/>
                <w:lang w:val="en-GB" w:eastAsia="zh-CN"/>
              </w:rPr>
            </w:pPr>
            <w:r>
              <w:rPr>
                <w:rFonts w:hint="eastAsia"/>
                <w:szCs w:val="21"/>
              </w:rPr>
              <w:t>接触器</w:t>
            </w:r>
          </w:p>
        </w:tc>
        <w:tc>
          <w:tcPr>
            <w:tcW w:w="3794" w:type="dxa"/>
            <w:tcBorders>
              <w:top w:val="nil"/>
              <w:left w:val="nil"/>
              <w:bottom w:val="single" w:color="auto" w:sz="4" w:space="0"/>
              <w:right w:val="single" w:color="auto" w:sz="4" w:space="0"/>
            </w:tcBorders>
            <w:vAlign w:val="center"/>
          </w:tcPr>
          <w:p>
            <w:pPr>
              <w:pStyle w:val="41"/>
              <w:spacing w:line="360" w:lineRule="auto"/>
              <w:ind w:left="357"/>
              <w:rPr>
                <w:szCs w:val="21"/>
                <w:lang w:val="en-GB" w:eastAsia="zh-CN"/>
              </w:rPr>
            </w:pPr>
            <w:r>
              <w:rPr>
                <w:rFonts w:hint="eastAsia"/>
                <w:lang w:eastAsia="zh-CN"/>
              </w:rPr>
              <w:t>施耐德或其他标准品牌</w:t>
            </w:r>
          </w:p>
        </w:tc>
        <w:tc>
          <w:tcPr>
            <w:tcW w:w="4252" w:type="dxa"/>
            <w:tcBorders>
              <w:top w:val="nil"/>
              <w:left w:val="nil"/>
              <w:bottom w:val="single" w:color="auto" w:sz="4" w:space="0"/>
              <w:right w:val="single" w:color="auto" w:sz="4" w:space="0"/>
            </w:tcBorders>
            <w:vAlign w:val="center"/>
          </w:tcPr>
          <w:p>
            <w:pPr>
              <w:pStyle w:val="41"/>
              <w:spacing w:line="360" w:lineRule="auto"/>
              <w:ind w:left="357"/>
              <w:rPr>
                <w:szCs w:val="21"/>
                <w:lang w:val="en-GB" w:eastAsia="zh-CN"/>
              </w:rPr>
            </w:pPr>
            <w:r>
              <w:rPr>
                <w:rFonts w:hint="eastAsia"/>
                <w:szCs w:val="21"/>
                <w:lang w:val="en-GB" w:eastAsia="zh-CN"/>
              </w:rPr>
              <w:t>/</w:t>
            </w:r>
          </w:p>
        </w:tc>
      </w:tr>
      <w:tr>
        <w:tblPrEx>
          <w:tblCellMar>
            <w:top w:w="0" w:type="dxa"/>
            <w:left w:w="108" w:type="dxa"/>
            <w:bottom w:w="0" w:type="dxa"/>
            <w:right w:w="108" w:type="dxa"/>
          </w:tblCellMar>
        </w:tblPrEx>
        <w:trPr>
          <w:trHeight w:val="315" w:hRule="atLeast"/>
          <w:jc w:val="center"/>
        </w:trPr>
        <w:tc>
          <w:tcPr>
            <w:tcW w:w="2155" w:type="dxa"/>
            <w:tcBorders>
              <w:top w:val="nil"/>
              <w:left w:val="single" w:color="auto" w:sz="4" w:space="0"/>
              <w:bottom w:val="single" w:color="auto" w:sz="4" w:space="0"/>
              <w:right w:val="single" w:color="auto" w:sz="4" w:space="0"/>
            </w:tcBorders>
            <w:vAlign w:val="center"/>
          </w:tcPr>
          <w:p>
            <w:pPr>
              <w:pStyle w:val="41"/>
              <w:spacing w:line="360" w:lineRule="auto"/>
              <w:ind w:left="357"/>
              <w:jc w:val="left"/>
              <w:rPr>
                <w:szCs w:val="21"/>
                <w:lang w:val="en-GB" w:eastAsia="zh-CN"/>
              </w:rPr>
            </w:pPr>
            <w:r>
              <w:rPr>
                <w:rFonts w:hint="eastAsia"/>
                <w:szCs w:val="21"/>
              </w:rPr>
              <w:t>继电器</w:t>
            </w:r>
          </w:p>
        </w:tc>
        <w:tc>
          <w:tcPr>
            <w:tcW w:w="3794" w:type="dxa"/>
            <w:tcBorders>
              <w:top w:val="nil"/>
              <w:left w:val="nil"/>
              <w:bottom w:val="single" w:color="auto" w:sz="4" w:space="0"/>
              <w:right w:val="single" w:color="auto" w:sz="4" w:space="0"/>
            </w:tcBorders>
            <w:vAlign w:val="center"/>
          </w:tcPr>
          <w:p>
            <w:pPr>
              <w:pStyle w:val="41"/>
              <w:spacing w:line="360" w:lineRule="auto"/>
              <w:ind w:left="357"/>
              <w:rPr>
                <w:szCs w:val="21"/>
                <w:lang w:val="en-GB" w:eastAsia="zh-CN"/>
              </w:rPr>
            </w:pPr>
            <w:r>
              <w:rPr>
                <w:rFonts w:hint="eastAsia"/>
                <w:lang w:eastAsia="zh-CN"/>
              </w:rPr>
              <w:t>施耐德或其他标准品牌</w:t>
            </w:r>
          </w:p>
        </w:tc>
        <w:tc>
          <w:tcPr>
            <w:tcW w:w="4252" w:type="dxa"/>
            <w:tcBorders>
              <w:top w:val="nil"/>
              <w:left w:val="nil"/>
              <w:bottom w:val="single" w:color="auto" w:sz="4" w:space="0"/>
              <w:right w:val="single" w:color="auto" w:sz="4" w:space="0"/>
            </w:tcBorders>
            <w:vAlign w:val="center"/>
          </w:tcPr>
          <w:p>
            <w:pPr>
              <w:pStyle w:val="41"/>
              <w:spacing w:line="360" w:lineRule="auto"/>
              <w:ind w:left="357"/>
              <w:rPr>
                <w:szCs w:val="21"/>
                <w:lang w:val="en-GB" w:eastAsia="zh-CN"/>
              </w:rPr>
            </w:pPr>
            <w:r>
              <w:rPr>
                <w:rFonts w:hint="eastAsia"/>
                <w:szCs w:val="21"/>
                <w:lang w:val="en-GB" w:eastAsia="zh-CN"/>
              </w:rPr>
              <w:t>/</w:t>
            </w:r>
          </w:p>
        </w:tc>
      </w:tr>
      <w:tr>
        <w:tblPrEx>
          <w:tblCellMar>
            <w:top w:w="0" w:type="dxa"/>
            <w:left w:w="108" w:type="dxa"/>
            <w:bottom w:w="0" w:type="dxa"/>
            <w:right w:w="108" w:type="dxa"/>
          </w:tblCellMar>
        </w:tblPrEx>
        <w:trPr>
          <w:trHeight w:val="315" w:hRule="atLeast"/>
          <w:jc w:val="center"/>
        </w:trPr>
        <w:tc>
          <w:tcPr>
            <w:tcW w:w="2155" w:type="dxa"/>
            <w:tcBorders>
              <w:top w:val="nil"/>
              <w:left w:val="single" w:color="auto" w:sz="4" w:space="0"/>
              <w:bottom w:val="single" w:color="auto" w:sz="4" w:space="0"/>
              <w:right w:val="single" w:color="auto" w:sz="4" w:space="0"/>
            </w:tcBorders>
            <w:vAlign w:val="center"/>
          </w:tcPr>
          <w:p>
            <w:pPr>
              <w:pStyle w:val="41"/>
              <w:spacing w:line="360" w:lineRule="auto"/>
              <w:ind w:left="357"/>
              <w:jc w:val="left"/>
              <w:rPr>
                <w:szCs w:val="21"/>
                <w:lang w:val="en-GB" w:eastAsia="zh-CN"/>
              </w:rPr>
            </w:pPr>
            <w:r>
              <w:rPr>
                <w:rFonts w:hint="eastAsia"/>
                <w:szCs w:val="21"/>
              </w:rPr>
              <w:t>风阀执行器</w:t>
            </w:r>
          </w:p>
        </w:tc>
        <w:tc>
          <w:tcPr>
            <w:tcW w:w="3794" w:type="dxa"/>
            <w:tcBorders>
              <w:top w:val="nil"/>
              <w:left w:val="nil"/>
              <w:bottom w:val="single" w:color="auto" w:sz="4" w:space="0"/>
              <w:right w:val="single" w:color="auto" w:sz="4" w:space="0"/>
            </w:tcBorders>
            <w:vAlign w:val="center"/>
          </w:tcPr>
          <w:p>
            <w:pPr>
              <w:pStyle w:val="41"/>
              <w:spacing w:line="360" w:lineRule="auto"/>
              <w:ind w:left="357"/>
              <w:rPr>
                <w:szCs w:val="21"/>
                <w:lang w:val="en-GB" w:eastAsia="zh-CN"/>
              </w:rPr>
            </w:pPr>
            <w:r>
              <w:rPr>
                <w:rFonts w:hint="eastAsia"/>
                <w:szCs w:val="21"/>
                <w:lang w:eastAsia="zh-CN"/>
              </w:rPr>
              <w:t>西门子</w:t>
            </w:r>
            <w:r>
              <w:rPr>
                <w:rFonts w:hint="eastAsia"/>
                <w:lang w:eastAsia="zh-CN"/>
              </w:rPr>
              <w:t>或其他标准品牌</w:t>
            </w:r>
          </w:p>
        </w:tc>
        <w:tc>
          <w:tcPr>
            <w:tcW w:w="4252" w:type="dxa"/>
            <w:tcBorders>
              <w:top w:val="nil"/>
              <w:left w:val="nil"/>
              <w:bottom w:val="single" w:color="auto" w:sz="4" w:space="0"/>
              <w:right w:val="single" w:color="auto" w:sz="4" w:space="0"/>
            </w:tcBorders>
            <w:vAlign w:val="center"/>
          </w:tcPr>
          <w:p>
            <w:pPr>
              <w:pStyle w:val="41"/>
              <w:spacing w:line="360" w:lineRule="auto"/>
              <w:ind w:left="357"/>
              <w:rPr>
                <w:szCs w:val="21"/>
                <w:lang w:val="en-GB" w:eastAsia="zh-CN"/>
              </w:rPr>
            </w:pPr>
            <w:r>
              <w:rPr>
                <w:rFonts w:hint="eastAsia"/>
                <w:szCs w:val="21"/>
                <w:lang w:val="en-GB" w:eastAsia="zh-CN"/>
              </w:rPr>
              <w:t>/</w:t>
            </w:r>
          </w:p>
        </w:tc>
      </w:tr>
      <w:tr>
        <w:tblPrEx>
          <w:tblCellMar>
            <w:top w:w="0" w:type="dxa"/>
            <w:left w:w="108" w:type="dxa"/>
            <w:bottom w:w="0" w:type="dxa"/>
            <w:right w:w="108" w:type="dxa"/>
          </w:tblCellMar>
        </w:tblPrEx>
        <w:trPr>
          <w:trHeight w:val="697" w:hRule="atLeast"/>
          <w:jc w:val="center"/>
        </w:trPr>
        <w:tc>
          <w:tcPr>
            <w:tcW w:w="2155" w:type="dxa"/>
            <w:tcBorders>
              <w:top w:val="nil"/>
              <w:left w:val="single" w:color="auto" w:sz="4" w:space="0"/>
              <w:bottom w:val="single" w:color="auto" w:sz="4" w:space="0"/>
              <w:right w:val="single" w:color="auto" w:sz="4" w:space="0"/>
            </w:tcBorders>
            <w:vAlign w:val="center"/>
          </w:tcPr>
          <w:p>
            <w:pPr>
              <w:pStyle w:val="41"/>
              <w:spacing w:line="360" w:lineRule="auto"/>
              <w:ind w:left="357"/>
              <w:jc w:val="left"/>
              <w:rPr>
                <w:szCs w:val="21"/>
                <w:lang w:val="en-GB" w:eastAsia="zh-CN"/>
              </w:rPr>
            </w:pPr>
            <w:r>
              <w:rPr>
                <w:rFonts w:hint="eastAsia"/>
                <w:szCs w:val="21"/>
              </w:rPr>
              <w:t>变频器</w:t>
            </w:r>
          </w:p>
        </w:tc>
        <w:tc>
          <w:tcPr>
            <w:tcW w:w="3794" w:type="dxa"/>
            <w:tcBorders>
              <w:top w:val="nil"/>
              <w:left w:val="nil"/>
              <w:bottom w:val="single" w:color="auto" w:sz="4" w:space="0"/>
              <w:right w:val="single" w:color="auto" w:sz="4" w:space="0"/>
            </w:tcBorders>
            <w:vAlign w:val="center"/>
          </w:tcPr>
          <w:p>
            <w:pPr>
              <w:pStyle w:val="41"/>
              <w:spacing w:line="360" w:lineRule="auto"/>
              <w:ind w:left="357"/>
              <w:rPr>
                <w:szCs w:val="21"/>
                <w:lang w:val="en-GB" w:eastAsia="zh-CN"/>
              </w:rPr>
            </w:pPr>
            <w:r>
              <w:rPr>
                <w:rFonts w:hint="eastAsia"/>
                <w:lang w:eastAsia="zh-CN"/>
              </w:rPr>
              <w:t>西门子或其他标准品牌</w:t>
            </w:r>
          </w:p>
        </w:tc>
        <w:tc>
          <w:tcPr>
            <w:tcW w:w="4252" w:type="dxa"/>
            <w:tcBorders>
              <w:top w:val="nil"/>
              <w:left w:val="nil"/>
              <w:bottom w:val="single" w:color="auto" w:sz="4" w:space="0"/>
              <w:right w:val="single" w:color="auto" w:sz="4" w:space="0"/>
            </w:tcBorders>
            <w:vAlign w:val="center"/>
          </w:tcPr>
          <w:p>
            <w:pPr>
              <w:pStyle w:val="41"/>
              <w:spacing w:line="360" w:lineRule="auto"/>
              <w:ind w:left="357"/>
              <w:rPr>
                <w:szCs w:val="21"/>
                <w:lang w:val="en-GB" w:eastAsia="zh-CN"/>
              </w:rPr>
            </w:pPr>
            <w:r>
              <w:rPr>
                <w:rFonts w:hint="eastAsia"/>
                <w:szCs w:val="21"/>
                <w:lang w:val="en-GB" w:eastAsia="zh-CN"/>
              </w:rPr>
              <w:t>/</w:t>
            </w:r>
          </w:p>
        </w:tc>
      </w:tr>
      <w:tr>
        <w:tblPrEx>
          <w:tblCellMar>
            <w:top w:w="0" w:type="dxa"/>
            <w:left w:w="108" w:type="dxa"/>
            <w:bottom w:w="0" w:type="dxa"/>
            <w:right w:w="108" w:type="dxa"/>
          </w:tblCellMar>
        </w:tblPrEx>
        <w:trPr>
          <w:trHeight w:val="315" w:hRule="atLeast"/>
          <w:jc w:val="center"/>
        </w:trPr>
        <w:tc>
          <w:tcPr>
            <w:tcW w:w="2155" w:type="dxa"/>
            <w:tcBorders>
              <w:top w:val="nil"/>
              <w:left w:val="single" w:color="auto" w:sz="4" w:space="0"/>
              <w:bottom w:val="single" w:color="auto" w:sz="4" w:space="0"/>
              <w:right w:val="single" w:color="auto" w:sz="4" w:space="0"/>
            </w:tcBorders>
            <w:vAlign w:val="center"/>
          </w:tcPr>
          <w:p>
            <w:pPr>
              <w:pStyle w:val="41"/>
              <w:spacing w:line="360" w:lineRule="auto"/>
              <w:ind w:left="357"/>
              <w:jc w:val="left"/>
              <w:rPr>
                <w:szCs w:val="21"/>
                <w:lang w:val="en-GB" w:eastAsia="zh-CN"/>
              </w:rPr>
            </w:pPr>
            <w:r>
              <w:rPr>
                <w:rFonts w:hint="eastAsia"/>
              </w:rPr>
              <w:t>调功器</w:t>
            </w:r>
          </w:p>
        </w:tc>
        <w:tc>
          <w:tcPr>
            <w:tcW w:w="3794" w:type="dxa"/>
            <w:tcBorders>
              <w:top w:val="nil"/>
              <w:left w:val="nil"/>
              <w:bottom w:val="single" w:color="auto" w:sz="4" w:space="0"/>
              <w:right w:val="single" w:color="auto" w:sz="4" w:space="0"/>
            </w:tcBorders>
            <w:vAlign w:val="center"/>
          </w:tcPr>
          <w:p>
            <w:pPr>
              <w:pStyle w:val="41"/>
              <w:spacing w:line="360" w:lineRule="auto"/>
              <w:ind w:left="357"/>
              <w:rPr>
                <w:szCs w:val="21"/>
                <w:lang w:val="en-GB" w:eastAsia="zh-CN"/>
              </w:rPr>
            </w:pPr>
            <w:r>
              <w:rPr>
                <w:rFonts w:hint="eastAsia"/>
                <w:lang w:eastAsia="zh-CN"/>
              </w:rPr>
              <w:t>淄博银河或其他标准品牌</w:t>
            </w:r>
          </w:p>
        </w:tc>
        <w:tc>
          <w:tcPr>
            <w:tcW w:w="4252" w:type="dxa"/>
            <w:tcBorders>
              <w:top w:val="nil"/>
              <w:left w:val="nil"/>
              <w:bottom w:val="single" w:color="auto" w:sz="4" w:space="0"/>
              <w:right w:val="single" w:color="auto" w:sz="4" w:space="0"/>
            </w:tcBorders>
            <w:vAlign w:val="center"/>
          </w:tcPr>
          <w:p>
            <w:pPr>
              <w:pStyle w:val="41"/>
              <w:spacing w:line="360" w:lineRule="auto"/>
              <w:ind w:left="357"/>
              <w:rPr>
                <w:szCs w:val="21"/>
                <w:lang w:val="en-GB" w:eastAsia="zh-CN"/>
              </w:rPr>
            </w:pPr>
            <w:r>
              <w:rPr>
                <w:rFonts w:hint="eastAsia"/>
                <w:szCs w:val="21"/>
                <w:lang w:val="en-GB" w:eastAsia="zh-CN"/>
              </w:rPr>
              <w:t>/</w:t>
            </w:r>
          </w:p>
        </w:tc>
      </w:tr>
      <w:tr>
        <w:tblPrEx>
          <w:tblCellMar>
            <w:top w:w="0" w:type="dxa"/>
            <w:left w:w="108" w:type="dxa"/>
            <w:bottom w:w="0" w:type="dxa"/>
            <w:right w:w="108" w:type="dxa"/>
          </w:tblCellMar>
        </w:tblPrEx>
        <w:trPr>
          <w:trHeight w:val="786" w:hRule="atLeast"/>
          <w:jc w:val="center"/>
        </w:trPr>
        <w:tc>
          <w:tcPr>
            <w:tcW w:w="2155" w:type="dxa"/>
            <w:tcBorders>
              <w:top w:val="nil"/>
              <w:left w:val="single" w:color="auto" w:sz="4" w:space="0"/>
              <w:bottom w:val="single" w:color="auto" w:sz="4" w:space="0"/>
              <w:right w:val="single" w:color="auto" w:sz="4" w:space="0"/>
            </w:tcBorders>
            <w:vAlign w:val="center"/>
          </w:tcPr>
          <w:p>
            <w:pPr>
              <w:pStyle w:val="41"/>
              <w:spacing w:line="360" w:lineRule="auto"/>
              <w:ind w:left="357"/>
              <w:jc w:val="left"/>
              <w:rPr>
                <w:szCs w:val="21"/>
                <w:lang w:val="en-GB" w:eastAsia="zh-CN"/>
              </w:rPr>
            </w:pPr>
            <w:r>
              <w:rPr>
                <w:rFonts w:hint="eastAsia"/>
              </w:rPr>
              <w:t>柜门开关</w:t>
            </w:r>
          </w:p>
        </w:tc>
        <w:tc>
          <w:tcPr>
            <w:tcW w:w="3794" w:type="dxa"/>
            <w:tcBorders>
              <w:top w:val="nil"/>
              <w:left w:val="nil"/>
              <w:bottom w:val="single" w:color="auto" w:sz="4" w:space="0"/>
              <w:right w:val="single" w:color="auto" w:sz="4" w:space="0"/>
            </w:tcBorders>
            <w:vAlign w:val="center"/>
          </w:tcPr>
          <w:p>
            <w:pPr>
              <w:pStyle w:val="41"/>
              <w:spacing w:line="360" w:lineRule="auto"/>
              <w:ind w:left="357"/>
              <w:rPr>
                <w:szCs w:val="21"/>
                <w:lang w:val="en-GB" w:eastAsia="zh-CN"/>
              </w:rPr>
            </w:pPr>
            <w:r>
              <w:rPr>
                <w:rFonts w:hint="eastAsia"/>
              </w:rPr>
              <w:t>昌德</w:t>
            </w:r>
            <w:r>
              <w:rPr>
                <w:rFonts w:hint="eastAsia"/>
                <w:lang w:eastAsia="zh-CN"/>
              </w:rPr>
              <w:t>或其他标准品牌</w:t>
            </w:r>
          </w:p>
        </w:tc>
        <w:tc>
          <w:tcPr>
            <w:tcW w:w="4252" w:type="dxa"/>
            <w:tcBorders>
              <w:top w:val="nil"/>
              <w:left w:val="nil"/>
              <w:bottom w:val="single" w:color="auto" w:sz="4" w:space="0"/>
              <w:right w:val="single" w:color="auto" w:sz="4" w:space="0"/>
            </w:tcBorders>
            <w:vAlign w:val="center"/>
          </w:tcPr>
          <w:p>
            <w:pPr>
              <w:pStyle w:val="41"/>
              <w:spacing w:line="360" w:lineRule="auto"/>
              <w:ind w:left="357"/>
              <w:rPr>
                <w:szCs w:val="21"/>
                <w:lang w:val="en-GB" w:eastAsia="zh-CN"/>
              </w:rPr>
            </w:pPr>
            <w:r>
              <w:rPr>
                <w:rFonts w:hint="eastAsia"/>
                <w:szCs w:val="21"/>
                <w:lang w:val="en-GB" w:eastAsia="zh-CN"/>
              </w:rPr>
              <w:t>/</w:t>
            </w:r>
          </w:p>
        </w:tc>
      </w:tr>
      <w:tr>
        <w:tblPrEx>
          <w:tblCellMar>
            <w:top w:w="0" w:type="dxa"/>
            <w:left w:w="108" w:type="dxa"/>
            <w:bottom w:w="0" w:type="dxa"/>
            <w:right w:w="108" w:type="dxa"/>
          </w:tblCellMar>
        </w:tblPrEx>
        <w:trPr>
          <w:trHeight w:val="315" w:hRule="atLeast"/>
          <w:jc w:val="center"/>
        </w:trPr>
        <w:tc>
          <w:tcPr>
            <w:tcW w:w="2155" w:type="dxa"/>
            <w:tcBorders>
              <w:top w:val="nil"/>
              <w:left w:val="single" w:color="auto" w:sz="4" w:space="0"/>
              <w:bottom w:val="single" w:color="auto" w:sz="4" w:space="0"/>
              <w:right w:val="single" w:color="auto" w:sz="4" w:space="0"/>
            </w:tcBorders>
            <w:vAlign w:val="center"/>
          </w:tcPr>
          <w:p>
            <w:pPr>
              <w:pStyle w:val="41"/>
              <w:spacing w:line="360" w:lineRule="auto"/>
              <w:ind w:left="357"/>
              <w:jc w:val="left"/>
              <w:rPr>
                <w:szCs w:val="21"/>
                <w:lang w:val="en-GB" w:eastAsia="zh-CN"/>
              </w:rPr>
            </w:pPr>
            <w:r>
              <w:rPr>
                <w:rFonts w:hint="eastAsia"/>
                <w:szCs w:val="21"/>
              </w:rPr>
              <w:t>接近开关</w:t>
            </w:r>
          </w:p>
        </w:tc>
        <w:tc>
          <w:tcPr>
            <w:tcW w:w="3794" w:type="dxa"/>
            <w:tcBorders>
              <w:top w:val="nil"/>
              <w:left w:val="nil"/>
              <w:bottom w:val="single" w:color="auto" w:sz="4" w:space="0"/>
              <w:right w:val="single" w:color="auto" w:sz="4" w:space="0"/>
            </w:tcBorders>
            <w:vAlign w:val="center"/>
          </w:tcPr>
          <w:p>
            <w:pPr>
              <w:pStyle w:val="41"/>
              <w:spacing w:line="360" w:lineRule="auto"/>
              <w:ind w:left="357"/>
              <w:rPr>
                <w:szCs w:val="21"/>
                <w:lang w:val="en-GB" w:eastAsia="zh-CN"/>
              </w:rPr>
            </w:pPr>
            <w:r>
              <w:rPr>
                <w:rFonts w:hint="eastAsia"/>
              </w:rPr>
              <w:t>昌德</w:t>
            </w:r>
            <w:r>
              <w:rPr>
                <w:rFonts w:hint="eastAsia"/>
                <w:lang w:eastAsia="zh-CN"/>
              </w:rPr>
              <w:t>或其他标准品牌</w:t>
            </w:r>
          </w:p>
        </w:tc>
        <w:tc>
          <w:tcPr>
            <w:tcW w:w="4252" w:type="dxa"/>
            <w:tcBorders>
              <w:top w:val="nil"/>
              <w:left w:val="nil"/>
              <w:bottom w:val="single" w:color="auto" w:sz="4" w:space="0"/>
              <w:right w:val="single" w:color="auto" w:sz="4" w:space="0"/>
            </w:tcBorders>
            <w:vAlign w:val="center"/>
          </w:tcPr>
          <w:p>
            <w:pPr>
              <w:pStyle w:val="41"/>
              <w:spacing w:line="360" w:lineRule="auto"/>
              <w:ind w:left="357"/>
              <w:rPr>
                <w:szCs w:val="21"/>
                <w:lang w:val="en-GB" w:eastAsia="zh-CN"/>
              </w:rPr>
            </w:pPr>
            <w:r>
              <w:rPr>
                <w:rFonts w:hint="eastAsia"/>
                <w:szCs w:val="21"/>
                <w:lang w:val="en-GB" w:eastAsia="zh-CN"/>
              </w:rPr>
              <w:t>/</w:t>
            </w:r>
          </w:p>
        </w:tc>
      </w:tr>
      <w:tr>
        <w:tblPrEx>
          <w:tblCellMar>
            <w:top w:w="0" w:type="dxa"/>
            <w:left w:w="108" w:type="dxa"/>
            <w:bottom w:w="0" w:type="dxa"/>
            <w:right w:w="108" w:type="dxa"/>
          </w:tblCellMar>
        </w:tblPrEx>
        <w:trPr>
          <w:trHeight w:val="315" w:hRule="atLeast"/>
          <w:jc w:val="center"/>
        </w:trPr>
        <w:tc>
          <w:tcPr>
            <w:tcW w:w="2155" w:type="dxa"/>
            <w:tcBorders>
              <w:top w:val="nil"/>
              <w:left w:val="single" w:color="auto" w:sz="4" w:space="0"/>
              <w:bottom w:val="single" w:color="auto" w:sz="4" w:space="0"/>
              <w:right w:val="single" w:color="auto" w:sz="4" w:space="0"/>
            </w:tcBorders>
            <w:vAlign w:val="center"/>
          </w:tcPr>
          <w:p>
            <w:pPr>
              <w:pStyle w:val="41"/>
              <w:spacing w:line="360" w:lineRule="auto"/>
              <w:ind w:left="357"/>
              <w:jc w:val="left"/>
              <w:rPr>
                <w:szCs w:val="21"/>
                <w:lang w:val="en-GB" w:eastAsia="zh-CN"/>
              </w:rPr>
            </w:pPr>
            <w:r>
              <w:rPr>
                <w:rFonts w:hint="eastAsia"/>
                <w:szCs w:val="21"/>
              </w:rPr>
              <w:t>维修插座</w:t>
            </w:r>
          </w:p>
        </w:tc>
        <w:tc>
          <w:tcPr>
            <w:tcW w:w="3794" w:type="dxa"/>
            <w:tcBorders>
              <w:top w:val="nil"/>
              <w:left w:val="nil"/>
              <w:bottom w:val="single" w:color="auto" w:sz="4" w:space="0"/>
              <w:right w:val="single" w:color="auto" w:sz="4" w:space="0"/>
            </w:tcBorders>
            <w:vAlign w:val="center"/>
          </w:tcPr>
          <w:p>
            <w:pPr>
              <w:pStyle w:val="41"/>
              <w:spacing w:line="360" w:lineRule="auto"/>
              <w:ind w:left="357"/>
              <w:rPr>
                <w:szCs w:val="21"/>
                <w:lang w:val="en-GB" w:eastAsia="zh-CN"/>
              </w:rPr>
            </w:pPr>
            <w:r>
              <w:rPr>
                <w:rFonts w:hint="eastAsia"/>
                <w:lang w:eastAsia="zh-CN"/>
              </w:rPr>
              <w:t>施耐德或其他标准品牌</w:t>
            </w:r>
          </w:p>
        </w:tc>
        <w:tc>
          <w:tcPr>
            <w:tcW w:w="4252" w:type="dxa"/>
            <w:tcBorders>
              <w:top w:val="nil"/>
              <w:left w:val="nil"/>
              <w:bottom w:val="single" w:color="auto" w:sz="4" w:space="0"/>
              <w:right w:val="single" w:color="auto" w:sz="4" w:space="0"/>
            </w:tcBorders>
            <w:vAlign w:val="center"/>
          </w:tcPr>
          <w:p>
            <w:pPr>
              <w:pStyle w:val="41"/>
              <w:spacing w:line="360" w:lineRule="auto"/>
              <w:ind w:left="357"/>
              <w:rPr>
                <w:szCs w:val="21"/>
                <w:lang w:val="en-GB" w:eastAsia="zh-CN"/>
              </w:rPr>
            </w:pPr>
            <w:r>
              <w:rPr>
                <w:rFonts w:hint="eastAsia"/>
                <w:szCs w:val="21"/>
                <w:lang w:val="en-GB" w:eastAsia="zh-CN"/>
              </w:rPr>
              <w:t>/</w:t>
            </w:r>
          </w:p>
        </w:tc>
      </w:tr>
      <w:tr>
        <w:tblPrEx>
          <w:tblCellMar>
            <w:top w:w="0" w:type="dxa"/>
            <w:left w:w="108" w:type="dxa"/>
            <w:bottom w:w="0" w:type="dxa"/>
            <w:right w:w="108" w:type="dxa"/>
          </w:tblCellMar>
        </w:tblPrEx>
        <w:trPr>
          <w:trHeight w:val="315" w:hRule="atLeast"/>
          <w:jc w:val="center"/>
        </w:trPr>
        <w:tc>
          <w:tcPr>
            <w:tcW w:w="2155" w:type="dxa"/>
            <w:tcBorders>
              <w:top w:val="nil"/>
              <w:left w:val="single" w:color="auto" w:sz="4" w:space="0"/>
              <w:bottom w:val="single" w:color="auto" w:sz="4" w:space="0"/>
              <w:right w:val="single" w:color="auto" w:sz="4" w:space="0"/>
            </w:tcBorders>
            <w:vAlign w:val="center"/>
          </w:tcPr>
          <w:p>
            <w:pPr>
              <w:pStyle w:val="41"/>
              <w:spacing w:line="360" w:lineRule="auto"/>
              <w:ind w:left="357"/>
              <w:jc w:val="left"/>
              <w:rPr>
                <w:szCs w:val="21"/>
                <w:lang w:val="en-GB" w:eastAsia="zh-CN"/>
              </w:rPr>
            </w:pPr>
            <w:r>
              <w:rPr>
                <w:rFonts w:hint="eastAsia"/>
                <w:szCs w:val="21"/>
              </w:rPr>
              <w:t>操作按钮</w:t>
            </w:r>
          </w:p>
        </w:tc>
        <w:tc>
          <w:tcPr>
            <w:tcW w:w="3794" w:type="dxa"/>
            <w:tcBorders>
              <w:top w:val="nil"/>
              <w:left w:val="nil"/>
              <w:bottom w:val="single" w:color="auto" w:sz="4" w:space="0"/>
              <w:right w:val="single" w:color="auto" w:sz="4" w:space="0"/>
            </w:tcBorders>
            <w:vAlign w:val="center"/>
          </w:tcPr>
          <w:p>
            <w:pPr>
              <w:pStyle w:val="41"/>
              <w:spacing w:line="360" w:lineRule="auto"/>
              <w:ind w:left="357"/>
              <w:rPr>
                <w:szCs w:val="21"/>
                <w:lang w:val="en-GB" w:eastAsia="zh-CN"/>
              </w:rPr>
            </w:pPr>
            <w:r>
              <w:rPr>
                <w:rFonts w:hint="eastAsia"/>
              </w:rPr>
              <w:t>天逸</w:t>
            </w:r>
            <w:r>
              <w:rPr>
                <w:rFonts w:hint="eastAsia"/>
                <w:lang w:eastAsia="zh-CN"/>
              </w:rPr>
              <w:t>或其他标准品牌</w:t>
            </w:r>
          </w:p>
        </w:tc>
        <w:tc>
          <w:tcPr>
            <w:tcW w:w="4252" w:type="dxa"/>
            <w:tcBorders>
              <w:top w:val="nil"/>
              <w:left w:val="nil"/>
              <w:bottom w:val="single" w:color="auto" w:sz="4" w:space="0"/>
              <w:right w:val="single" w:color="auto" w:sz="4" w:space="0"/>
            </w:tcBorders>
            <w:vAlign w:val="center"/>
          </w:tcPr>
          <w:p>
            <w:pPr>
              <w:pStyle w:val="41"/>
              <w:spacing w:line="360" w:lineRule="auto"/>
              <w:ind w:left="357"/>
              <w:rPr>
                <w:bCs/>
                <w:szCs w:val="21"/>
                <w:lang w:val="en-GB" w:eastAsia="zh-CN"/>
              </w:rPr>
            </w:pPr>
            <w:r>
              <w:rPr>
                <w:rFonts w:hint="eastAsia"/>
                <w:bCs/>
                <w:szCs w:val="21"/>
                <w:lang w:val="en-GB" w:eastAsia="zh-CN"/>
              </w:rPr>
              <w:t>/</w:t>
            </w:r>
          </w:p>
        </w:tc>
      </w:tr>
      <w:tr>
        <w:tblPrEx>
          <w:tblCellMar>
            <w:top w:w="0" w:type="dxa"/>
            <w:left w:w="108" w:type="dxa"/>
            <w:bottom w:w="0" w:type="dxa"/>
            <w:right w:w="108" w:type="dxa"/>
          </w:tblCellMar>
        </w:tblPrEx>
        <w:trPr>
          <w:trHeight w:val="786" w:hRule="atLeast"/>
          <w:jc w:val="center"/>
        </w:trPr>
        <w:tc>
          <w:tcPr>
            <w:tcW w:w="2155" w:type="dxa"/>
            <w:tcBorders>
              <w:top w:val="nil"/>
              <w:left w:val="single" w:color="auto" w:sz="4" w:space="0"/>
              <w:bottom w:val="single" w:color="auto" w:sz="4" w:space="0"/>
              <w:right w:val="single" w:color="auto" w:sz="4" w:space="0"/>
            </w:tcBorders>
            <w:vAlign w:val="center"/>
          </w:tcPr>
          <w:p>
            <w:pPr>
              <w:pStyle w:val="41"/>
              <w:spacing w:line="360" w:lineRule="auto"/>
              <w:ind w:left="357"/>
              <w:jc w:val="left"/>
              <w:rPr>
                <w:szCs w:val="21"/>
                <w:lang w:val="en-GB" w:eastAsia="zh-CN"/>
              </w:rPr>
            </w:pPr>
            <w:r>
              <w:rPr>
                <w:rFonts w:hint="eastAsia"/>
                <w:szCs w:val="21"/>
              </w:rPr>
              <w:t>指示灯</w:t>
            </w:r>
          </w:p>
        </w:tc>
        <w:tc>
          <w:tcPr>
            <w:tcW w:w="3794" w:type="dxa"/>
            <w:tcBorders>
              <w:top w:val="nil"/>
              <w:left w:val="nil"/>
              <w:bottom w:val="single" w:color="auto" w:sz="4" w:space="0"/>
              <w:right w:val="single" w:color="auto" w:sz="4" w:space="0"/>
            </w:tcBorders>
            <w:vAlign w:val="center"/>
          </w:tcPr>
          <w:p>
            <w:pPr>
              <w:pStyle w:val="41"/>
              <w:spacing w:line="360" w:lineRule="auto"/>
              <w:ind w:left="357"/>
              <w:rPr>
                <w:szCs w:val="21"/>
                <w:lang w:val="en-GB" w:eastAsia="zh-CN"/>
              </w:rPr>
            </w:pPr>
            <w:r>
              <w:rPr>
                <w:rFonts w:hint="eastAsia"/>
                <w:lang w:eastAsia="zh-CN"/>
              </w:rPr>
              <w:t>天逸或其他标准品牌</w:t>
            </w:r>
          </w:p>
        </w:tc>
        <w:tc>
          <w:tcPr>
            <w:tcW w:w="4252" w:type="dxa"/>
            <w:tcBorders>
              <w:top w:val="nil"/>
              <w:left w:val="nil"/>
              <w:bottom w:val="single" w:color="auto" w:sz="4" w:space="0"/>
              <w:right w:val="single" w:color="auto" w:sz="4" w:space="0"/>
            </w:tcBorders>
            <w:vAlign w:val="center"/>
          </w:tcPr>
          <w:p>
            <w:pPr>
              <w:pStyle w:val="41"/>
              <w:spacing w:line="360" w:lineRule="auto"/>
              <w:ind w:left="357"/>
              <w:rPr>
                <w:szCs w:val="21"/>
                <w:lang w:val="en-GB" w:eastAsia="zh-CN"/>
              </w:rPr>
            </w:pPr>
            <w:r>
              <w:rPr>
                <w:rFonts w:hint="eastAsia"/>
                <w:szCs w:val="21"/>
                <w:lang w:val="en-GB" w:eastAsia="zh-CN"/>
              </w:rPr>
              <w:t>/</w:t>
            </w:r>
          </w:p>
        </w:tc>
      </w:tr>
      <w:tr>
        <w:tblPrEx>
          <w:tblCellMar>
            <w:top w:w="0" w:type="dxa"/>
            <w:left w:w="108" w:type="dxa"/>
            <w:bottom w:w="0" w:type="dxa"/>
            <w:right w:w="108" w:type="dxa"/>
          </w:tblCellMar>
        </w:tblPrEx>
        <w:trPr>
          <w:trHeight w:val="500" w:hRule="atLeast"/>
          <w:jc w:val="center"/>
        </w:trPr>
        <w:tc>
          <w:tcPr>
            <w:tcW w:w="2155" w:type="dxa"/>
            <w:tcBorders>
              <w:top w:val="nil"/>
              <w:left w:val="single" w:color="auto" w:sz="4" w:space="0"/>
              <w:bottom w:val="single" w:color="auto" w:sz="4" w:space="0"/>
              <w:right w:val="single" w:color="auto" w:sz="4" w:space="0"/>
            </w:tcBorders>
            <w:vAlign w:val="center"/>
          </w:tcPr>
          <w:p>
            <w:pPr>
              <w:pStyle w:val="41"/>
              <w:spacing w:line="360" w:lineRule="auto"/>
              <w:ind w:left="357"/>
              <w:jc w:val="left"/>
              <w:rPr>
                <w:szCs w:val="21"/>
                <w:lang w:val="en-GB" w:eastAsia="zh-CN"/>
              </w:rPr>
            </w:pPr>
            <w:r>
              <w:rPr>
                <w:rFonts w:hint="eastAsia"/>
                <w:szCs w:val="21"/>
              </w:rPr>
              <w:t>急停开关</w:t>
            </w:r>
          </w:p>
        </w:tc>
        <w:tc>
          <w:tcPr>
            <w:tcW w:w="3794" w:type="dxa"/>
            <w:tcBorders>
              <w:top w:val="nil"/>
              <w:left w:val="nil"/>
              <w:bottom w:val="single" w:color="auto" w:sz="4" w:space="0"/>
              <w:right w:val="single" w:color="auto" w:sz="4" w:space="0"/>
            </w:tcBorders>
            <w:vAlign w:val="center"/>
          </w:tcPr>
          <w:p>
            <w:pPr>
              <w:pStyle w:val="41"/>
              <w:spacing w:line="360" w:lineRule="auto"/>
              <w:ind w:left="357"/>
              <w:rPr>
                <w:szCs w:val="21"/>
                <w:lang w:val="en-GB" w:eastAsia="zh-CN"/>
              </w:rPr>
            </w:pPr>
            <w:r>
              <w:rPr>
                <w:rFonts w:hint="eastAsia"/>
              </w:rPr>
              <w:t>天逸</w:t>
            </w:r>
            <w:r>
              <w:rPr>
                <w:rFonts w:hint="eastAsia"/>
                <w:lang w:eastAsia="zh-CN"/>
              </w:rPr>
              <w:t>或其他标准品牌</w:t>
            </w:r>
          </w:p>
        </w:tc>
        <w:tc>
          <w:tcPr>
            <w:tcW w:w="4252" w:type="dxa"/>
            <w:tcBorders>
              <w:top w:val="nil"/>
              <w:left w:val="nil"/>
              <w:bottom w:val="single" w:color="auto" w:sz="4" w:space="0"/>
              <w:right w:val="single" w:color="auto" w:sz="4" w:space="0"/>
            </w:tcBorders>
            <w:vAlign w:val="center"/>
          </w:tcPr>
          <w:p>
            <w:pPr>
              <w:pStyle w:val="41"/>
              <w:spacing w:line="360" w:lineRule="auto"/>
              <w:ind w:left="357"/>
              <w:rPr>
                <w:szCs w:val="21"/>
                <w:lang w:val="en-GB" w:eastAsia="zh-CN"/>
              </w:rPr>
            </w:pPr>
            <w:r>
              <w:rPr>
                <w:rFonts w:hint="eastAsia"/>
                <w:szCs w:val="21"/>
                <w:lang w:val="en-GB" w:eastAsia="zh-CN"/>
              </w:rPr>
              <w:t>/</w:t>
            </w:r>
          </w:p>
        </w:tc>
      </w:tr>
      <w:tr>
        <w:tblPrEx>
          <w:tblCellMar>
            <w:top w:w="0" w:type="dxa"/>
            <w:left w:w="108" w:type="dxa"/>
            <w:bottom w:w="0" w:type="dxa"/>
            <w:right w:w="108" w:type="dxa"/>
          </w:tblCellMar>
        </w:tblPrEx>
        <w:trPr>
          <w:trHeight w:val="315" w:hRule="atLeast"/>
          <w:jc w:val="center"/>
        </w:trPr>
        <w:tc>
          <w:tcPr>
            <w:tcW w:w="2155" w:type="dxa"/>
            <w:tcBorders>
              <w:top w:val="nil"/>
              <w:left w:val="single" w:color="auto" w:sz="4" w:space="0"/>
              <w:bottom w:val="single" w:color="auto" w:sz="4" w:space="0"/>
              <w:right w:val="single" w:color="auto" w:sz="4" w:space="0"/>
            </w:tcBorders>
            <w:vAlign w:val="center"/>
          </w:tcPr>
          <w:p>
            <w:pPr>
              <w:pStyle w:val="41"/>
              <w:spacing w:line="360" w:lineRule="auto"/>
              <w:ind w:left="357"/>
              <w:jc w:val="left"/>
              <w:rPr>
                <w:szCs w:val="21"/>
                <w:lang w:val="en-GB" w:eastAsia="zh-CN"/>
              </w:rPr>
            </w:pPr>
            <w:r>
              <w:rPr>
                <w:rFonts w:hint="eastAsia"/>
                <w:szCs w:val="21"/>
              </w:rPr>
              <w:t>带钥匙操作开关</w:t>
            </w:r>
          </w:p>
        </w:tc>
        <w:tc>
          <w:tcPr>
            <w:tcW w:w="3794" w:type="dxa"/>
            <w:tcBorders>
              <w:top w:val="nil"/>
              <w:left w:val="nil"/>
              <w:bottom w:val="single" w:color="auto" w:sz="4" w:space="0"/>
              <w:right w:val="single" w:color="auto" w:sz="4" w:space="0"/>
            </w:tcBorders>
            <w:vAlign w:val="center"/>
          </w:tcPr>
          <w:p>
            <w:pPr>
              <w:pStyle w:val="41"/>
              <w:spacing w:line="360" w:lineRule="auto"/>
              <w:ind w:left="357"/>
              <w:rPr>
                <w:szCs w:val="21"/>
                <w:lang w:val="en-GB" w:eastAsia="zh-CN"/>
              </w:rPr>
            </w:pPr>
            <w:r>
              <w:rPr>
                <w:rFonts w:hint="eastAsia"/>
              </w:rPr>
              <w:t>天逸</w:t>
            </w:r>
            <w:r>
              <w:rPr>
                <w:rFonts w:hint="eastAsia"/>
                <w:lang w:eastAsia="zh-CN"/>
              </w:rPr>
              <w:t>或其他标准品牌</w:t>
            </w:r>
          </w:p>
        </w:tc>
        <w:tc>
          <w:tcPr>
            <w:tcW w:w="4252" w:type="dxa"/>
            <w:tcBorders>
              <w:top w:val="nil"/>
              <w:left w:val="nil"/>
              <w:bottom w:val="single" w:color="auto" w:sz="4" w:space="0"/>
              <w:right w:val="single" w:color="auto" w:sz="4" w:space="0"/>
            </w:tcBorders>
            <w:vAlign w:val="center"/>
          </w:tcPr>
          <w:p>
            <w:pPr>
              <w:pStyle w:val="41"/>
              <w:spacing w:line="360" w:lineRule="auto"/>
              <w:ind w:left="357"/>
              <w:rPr>
                <w:szCs w:val="21"/>
                <w:lang w:val="en-GB" w:eastAsia="zh-CN"/>
              </w:rPr>
            </w:pPr>
            <w:r>
              <w:rPr>
                <w:rFonts w:hint="eastAsia"/>
                <w:szCs w:val="21"/>
                <w:lang w:val="en-GB" w:eastAsia="zh-CN"/>
              </w:rPr>
              <w:t>/</w:t>
            </w:r>
          </w:p>
        </w:tc>
      </w:tr>
      <w:tr>
        <w:tblPrEx>
          <w:tblCellMar>
            <w:top w:w="0" w:type="dxa"/>
            <w:left w:w="108" w:type="dxa"/>
            <w:bottom w:w="0" w:type="dxa"/>
            <w:right w:w="108" w:type="dxa"/>
          </w:tblCellMar>
        </w:tblPrEx>
        <w:trPr>
          <w:trHeight w:val="315" w:hRule="atLeast"/>
          <w:jc w:val="center"/>
        </w:trPr>
        <w:tc>
          <w:tcPr>
            <w:tcW w:w="2155" w:type="dxa"/>
            <w:tcBorders>
              <w:top w:val="nil"/>
              <w:left w:val="single" w:color="auto" w:sz="4" w:space="0"/>
              <w:bottom w:val="single" w:color="auto" w:sz="4" w:space="0"/>
              <w:right w:val="single" w:color="auto" w:sz="4" w:space="0"/>
            </w:tcBorders>
            <w:vAlign w:val="center"/>
          </w:tcPr>
          <w:p>
            <w:pPr>
              <w:pStyle w:val="41"/>
              <w:spacing w:line="360" w:lineRule="auto"/>
              <w:ind w:left="357"/>
              <w:jc w:val="left"/>
              <w:rPr>
                <w:szCs w:val="21"/>
                <w:lang w:val="en-GB" w:eastAsia="zh-CN"/>
              </w:rPr>
            </w:pPr>
            <w:r>
              <w:rPr>
                <w:rFonts w:hint="eastAsia"/>
              </w:rPr>
              <w:t>告警蜂鸣器</w:t>
            </w:r>
          </w:p>
        </w:tc>
        <w:tc>
          <w:tcPr>
            <w:tcW w:w="3794" w:type="dxa"/>
            <w:tcBorders>
              <w:top w:val="nil"/>
              <w:left w:val="nil"/>
              <w:bottom w:val="single" w:color="auto" w:sz="4" w:space="0"/>
              <w:right w:val="single" w:color="auto" w:sz="4" w:space="0"/>
            </w:tcBorders>
            <w:vAlign w:val="center"/>
          </w:tcPr>
          <w:p>
            <w:pPr>
              <w:pStyle w:val="41"/>
              <w:spacing w:line="360" w:lineRule="auto"/>
              <w:ind w:left="357"/>
              <w:rPr>
                <w:szCs w:val="21"/>
                <w:lang w:val="en-GB" w:eastAsia="zh-CN"/>
              </w:rPr>
            </w:pPr>
            <w:r>
              <w:rPr>
                <w:rFonts w:hint="eastAsia"/>
                <w:lang w:eastAsia="zh-CN"/>
              </w:rPr>
              <w:t>施耐德或其他标准品牌</w:t>
            </w:r>
          </w:p>
        </w:tc>
        <w:tc>
          <w:tcPr>
            <w:tcW w:w="4252" w:type="dxa"/>
            <w:tcBorders>
              <w:top w:val="nil"/>
              <w:left w:val="nil"/>
              <w:bottom w:val="single" w:color="auto" w:sz="4" w:space="0"/>
              <w:right w:val="single" w:color="auto" w:sz="4" w:space="0"/>
            </w:tcBorders>
            <w:vAlign w:val="center"/>
          </w:tcPr>
          <w:p>
            <w:pPr>
              <w:pStyle w:val="41"/>
              <w:spacing w:line="360" w:lineRule="auto"/>
              <w:ind w:left="357"/>
              <w:rPr>
                <w:szCs w:val="21"/>
                <w:lang w:val="en-GB" w:eastAsia="zh-CN"/>
              </w:rPr>
            </w:pPr>
            <w:r>
              <w:rPr>
                <w:rFonts w:hint="eastAsia"/>
                <w:szCs w:val="21"/>
                <w:lang w:val="en-GB" w:eastAsia="zh-CN"/>
              </w:rPr>
              <w:t>/</w:t>
            </w:r>
          </w:p>
        </w:tc>
      </w:tr>
      <w:tr>
        <w:tblPrEx>
          <w:tblCellMar>
            <w:top w:w="0" w:type="dxa"/>
            <w:left w:w="108" w:type="dxa"/>
            <w:bottom w:w="0" w:type="dxa"/>
            <w:right w:w="108" w:type="dxa"/>
          </w:tblCellMar>
        </w:tblPrEx>
        <w:trPr>
          <w:trHeight w:val="315" w:hRule="atLeast"/>
          <w:jc w:val="center"/>
        </w:trPr>
        <w:tc>
          <w:tcPr>
            <w:tcW w:w="2155" w:type="dxa"/>
            <w:tcBorders>
              <w:top w:val="nil"/>
              <w:left w:val="single" w:color="auto" w:sz="4" w:space="0"/>
              <w:bottom w:val="single" w:color="auto" w:sz="4" w:space="0"/>
              <w:right w:val="single" w:color="auto" w:sz="4" w:space="0"/>
            </w:tcBorders>
            <w:vAlign w:val="center"/>
          </w:tcPr>
          <w:p>
            <w:pPr>
              <w:pStyle w:val="41"/>
              <w:spacing w:line="360" w:lineRule="auto"/>
              <w:ind w:left="357"/>
              <w:jc w:val="left"/>
              <w:rPr>
                <w:szCs w:val="21"/>
                <w:lang w:val="en-GB" w:eastAsia="zh-CN"/>
              </w:rPr>
            </w:pPr>
            <w:r>
              <w:rPr>
                <w:rFonts w:hint="eastAsia"/>
                <w:szCs w:val="21"/>
              </w:rPr>
              <w:t>开关电源</w:t>
            </w:r>
          </w:p>
        </w:tc>
        <w:tc>
          <w:tcPr>
            <w:tcW w:w="3794" w:type="dxa"/>
            <w:tcBorders>
              <w:top w:val="nil"/>
              <w:left w:val="nil"/>
              <w:bottom w:val="single" w:color="auto" w:sz="4" w:space="0"/>
              <w:right w:val="single" w:color="auto" w:sz="4" w:space="0"/>
            </w:tcBorders>
            <w:vAlign w:val="center"/>
          </w:tcPr>
          <w:p>
            <w:pPr>
              <w:pStyle w:val="41"/>
              <w:spacing w:line="360" w:lineRule="auto"/>
              <w:ind w:left="357"/>
              <w:rPr>
                <w:szCs w:val="21"/>
                <w:lang w:val="en-GB" w:eastAsia="zh-CN"/>
              </w:rPr>
            </w:pPr>
            <w:r>
              <w:rPr>
                <w:rFonts w:hint="eastAsia"/>
              </w:rPr>
              <w:t>明纬</w:t>
            </w:r>
            <w:r>
              <w:rPr>
                <w:rFonts w:hint="eastAsia"/>
                <w:lang w:eastAsia="zh-CN"/>
              </w:rPr>
              <w:t>或其他标准品牌</w:t>
            </w:r>
          </w:p>
        </w:tc>
        <w:tc>
          <w:tcPr>
            <w:tcW w:w="4252" w:type="dxa"/>
            <w:tcBorders>
              <w:top w:val="nil"/>
              <w:left w:val="nil"/>
              <w:bottom w:val="single" w:color="auto" w:sz="4" w:space="0"/>
              <w:right w:val="single" w:color="auto" w:sz="4" w:space="0"/>
            </w:tcBorders>
            <w:vAlign w:val="center"/>
          </w:tcPr>
          <w:p>
            <w:pPr>
              <w:pStyle w:val="41"/>
              <w:spacing w:line="360" w:lineRule="auto"/>
              <w:ind w:left="357"/>
              <w:rPr>
                <w:szCs w:val="21"/>
                <w:lang w:val="en-GB" w:eastAsia="zh-CN"/>
              </w:rPr>
            </w:pPr>
            <w:r>
              <w:rPr>
                <w:rFonts w:hint="eastAsia"/>
                <w:szCs w:val="21"/>
                <w:lang w:val="en-GB" w:eastAsia="zh-CN"/>
              </w:rPr>
              <w:t>/</w:t>
            </w:r>
          </w:p>
        </w:tc>
      </w:tr>
      <w:tr>
        <w:tblPrEx>
          <w:tblCellMar>
            <w:top w:w="0" w:type="dxa"/>
            <w:left w:w="108" w:type="dxa"/>
            <w:bottom w:w="0" w:type="dxa"/>
            <w:right w:w="108" w:type="dxa"/>
          </w:tblCellMar>
        </w:tblPrEx>
        <w:trPr>
          <w:trHeight w:val="315" w:hRule="atLeast"/>
          <w:jc w:val="center"/>
        </w:trPr>
        <w:tc>
          <w:tcPr>
            <w:tcW w:w="2155" w:type="dxa"/>
            <w:tcBorders>
              <w:top w:val="nil"/>
              <w:left w:val="single" w:color="auto" w:sz="4" w:space="0"/>
              <w:bottom w:val="single" w:color="auto" w:sz="4" w:space="0"/>
              <w:right w:val="single" w:color="auto" w:sz="4" w:space="0"/>
            </w:tcBorders>
            <w:vAlign w:val="center"/>
          </w:tcPr>
          <w:p>
            <w:pPr>
              <w:pStyle w:val="41"/>
              <w:spacing w:line="360" w:lineRule="auto"/>
              <w:ind w:left="357"/>
              <w:jc w:val="left"/>
              <w:rPr>
                <w:szCs w:val="21"/>
                <w:lang w:val="en-GB" w:eastAsia="zh-CN"/>
              </w:rPr>
            </w:pPr>
            <w:r>
              <w:rPr>
                <w:szCs w:val="21"/>
              </w:rPr>
              <w:t>PLC</w:t>
            </w:r>
          </w:p>
        </w:tc>
        <w:tc>
          <w:tcPr>
            <w:tcW w:w="3794" w:type="dxa"/>
            <w:tcBorders>
              <w:top w:val="nil"/>
              <w:left w:val="nil"/>
              <w:bottom w:val="single" w:color="auto" w:sz="4" w:space="0"/>
              <w:right w:val="single" w:color="auto" w:sz="4" w:space="0"/>
            </w:tcBorders>
            <w:vAlign w:val="center"/>
          </w:tcPr>
          <w:p>
            <w:pPr>
              <w:pStyle w:val="41"/>
              <w:spacing w:line="360" w:lineRule="auto"/>
              <w:ind w:left="357"/>
              <w:rPr>
                <w:szCs w:val="21"/>
                <w:lang w:val="en-GB" w:eastAsia="zh-CN"/>
              </w:rPr>
            </w:pPr>
            <w:r>
              <w:rPr>
                <w:rFonts w:hint="eastAsia"/>
                <w:szCs w:val="21"/>
                <w:lang w:val="en-GB" w:eastAsia="zh-CN"/>
              </w:rPr>
              <w:t>西门子、爱默生、罗克韦尔</w:t>
            </w:r>
          </w:p>
        </w:tc>
        <w:tc>
          <w:tcPr>
            <w:tcW w:w="4252" w:type="dxa"/>
            <w:tcBorders>
              <w:top w:val="nil"/>
              <w:left w:val="nil"/>
              <w:bottom w:val="single" w:color="auto" w:sz="4" w:space="0"/>
              <w:right w:val="single" w:color="auto" w:sz="4" w:space="0"/>
            </w:tcBorders>
            <w:vAlign w:val="center"/>
          </w:tcPr>
          <w:p>
            <w:pPr>
              <w:pStyle w:val="41"/>
              <w:spacing w:line="360" w:lineRule="auto"/>
              <w:ind w:left="357"/>
              <w:rPr>
                <w:szCs w:val="21"/>
                <w:lang w:val="en-GB" w:eastAsia="zh-CN"/>
              </w:rPr>
            </w:pPr>
            <w:r>
              <w:rPr>
                <w:rFonts w:hint="eastAsia"/>
                <w:szCs w:val="21"/>
                <w:lang w:val="en-GB" w:eastAsia="zh-CN"/>
              </w:rPr>
              <w:t>/</w:t>
            </w:r>
          </w:p>
        </w:tc>
      </w:tr>
      <w:tr>
        <w:tblPrEx>
          <w:tblCellMar>
            <w:top w:w="0" w:type="dxa"/>
            <w:left w:w="108" w:type="dxa"/>
            <w:bottom w:w="0" w:type="dxa"/>
            <w:right w:w="108" w:type="dxa"/>
          </w:tblCellMar>
        </w:tblPrEx>
        <w:trPr>
          <w:trHeight w:val="315" w:hRule="atLeast"/>
          <w:jc w:val="center"/>
        </w:trPr>
        <w:tc>
          <w:tcPr>
            <w:tcW w:w="2155" w:type="dxa"/>
            <w:tcBorders>
              <w:top w:val="nil"/>
              <w:left w:val="single" w:color="auto" w:sz="4" w:space="0"/>
              <w:bottom w:val="single" w:color="auto" w:sz="4" w:space="0"/>
              <w:right w:val="single" w:color="auto" w:sz="4" w:space="0"/>
            </w:tcBorders>
            <w:vAlign w:val="center"/>
          </w:tcPr>
          <w:p>
            <w:pPr>
              <w:pStyle w:val="41"/>
              <w:spacing w:line="360" w:lineRule="auto"/>
              <w:ind w:left="357"/>
              <w:jc w:val="left"/>
              <w:rPr>
                <w:szCs w:val="21"/>
                <w:lang w:val="en-GB" w:eastAsia="zh-CN"/>
              </w:rPr>
            </w:pPr>
            <w:r>
              <w:rPr>
                <w:rFonts w:hint="eastAsia"/>
                <w:szCs w:val="21"/>
                <w:lang w:val="en-GB" w:eastAsia="zh-CN"/>
              </w:rPr>
              <w:t>触摸屏</w:t>
            </w:r>
          </w:p>
        </w:tc>
        <w:tc>
          <w:tcPr>
            <w:tcW w:w="3794" w:type="dxa"/>
            <w:tcBorders>
              <w:top w:val="nil"/>
              <w:left w:val="nil"/>
              <w:bottom w:val="single" w:color="auto" w:sz="4" w:space="0"/>
              <w:right w:val="single" w:color="auto" w:sz="4" w:space="0"/>
            </w:tcBorders>
            <w:vAlign w:val="center"/>
          </w:tcPr>
          <w:p>
            <w:pPr>
              <w:pStyle w:val="41"/>
              <w:spacing w:line="360" w:lineRule="auto"/>
              <w:ind w:left="357"/>
              <w:rPr>
                <w:szCs w:val="21"/>
                <w:lang w:val="en-GB" w:eastAsia="zh-CN"/>
              </w:rPr>
            </w:pPr>
            <w:r>
              <w:rPr>
                <w:rFonts w:hint="eastAsia"/>
                <w:szCs w:val="21"/>
                <w:lang w:val="en-GB" w:eastAsia="zh-CN"/>
              </w:rPr>
              <w:t>西门子、爱默生、罗克韦尔</w:t>
            </w:r>
          </w:p>
        </w:tc>
        <w:tc>
          <w:tcPr>
            <w:tcW w:w="4252" w:type="dxa"/>
            <w:tcBorders>
              <w:top w:val="nil"/>
              <w:left w:val="nil"/>
              <w:bottom w:val="single" w:color="auto" w:sz="4" w:space="0"/>
              <w:right w:val="single" w:color="auto" w:sz="4" w:space="0"/>
            </w:tcBorders>
            <w:vAlign w:val="center"/>
          </w:tcPr>
          <w:p>
            <w:pPr>
              <w:pStyle w:val="41"/>
              <w:spacing w:line="360" w:lineRule="auto"/>
              <w:ind w:left="357"/>
              <w:rPr>
                <w:szCs w:val="21"/>
                <w:lang w:val="en-GB" w:eastAsia="zh-CN"/>
              </w:rPr>
            </w:pPr>
            <w:r>
              <w:rPr>
                <w:rFonts w:hint="eastAsia"/>
                <w:szCs w:val="21"/>
                <w:lang w:val="en-GB" w:eastAsia="zh-CN"/>
              </w:rPr>
              <w:t>/</w:t>
            </w:r>
          </w:p>
        </w:tc>
      </w:tr>
      <w:tr>
        <w:tblPrEx>
          <w:tblCellMar>
            <w:top w:w="0" w:type="dxa"/>
            <w:left w:w="108" w:type="dxa"/>
            <w:bottom w:w="0" w:type="dxa"/>
            <w:right w:w="108" w:type="dxa"/>
          </w:tblCellMar>
        </w:tblPrEx>
        <w:trPr>
          <w:trHeight w:val="315" w:hRule="atLeast"/>
          <w:jc w:val="center"/>
        </w:trPr>
        <w:tc>
          <w:tcPr>
            <w:tcW w:w="2155" w:type="dxa"/>
            <w:tcBorders>
              <w:top w:val="nil"/>
              <w:left w:val="single" w:color="auto" w:sz="4" w:space="0"/>
              <w:bottom w:val="single" w:color="auto" w:sz="4" w:space="0"/>
              <w:right w:val="single" w:color="auto" w:sz="4" w:space="0"/>
            </w:tcBorders>
            <w:vAlign w:val="center"/>
          </w:tcPr>
          <w:p>
            <w:pPr>
              <w:pStyle w:val="41"/>
              <w:spacing w:line="360" w:lineRule="auto"/>
              <w:ind w:left="357"/>
              <w:jc w:val="left"/>
              <w:rPr>
                <w:szCs w:val="21"/>
                <w:lang w:val="en-GB" w:eastAsia="zh-CN"/>
              </w:rPr>
            </w:pPr>
            <w:r>
              <w:rPr>
                <w:rFonts w:hint="eastAsia"/>
                <w:szCs w:val="21"/>
              </w:rPr>
              <w:t>压力表</w:t>
            </w:r>
          </w:p>
        </w:tc>
        <w:tc>
          <w:tcPr>
            <w:tcW w:w="3794" w:type="dxa"/>
            <w:tcBorders>
              <w:top w:val="nil"/>
              <w:left w:val="nil"/>
              <w:bottom w:val="single" w:color="auto" w:sz="4" w:space="0"/>
              <w:right w:val="single" w:color="auto" w:sz="4" w:space="0"/>
            </w:tcBorders>
            <w:vAlign w:val="center"/>
          </w:tcPr>
          <w:p>
            <w:pPr>
              <w:pStyle w:val="41"/>
              <w:spacing w:line="360" w:lineRule="auto"/>
              <w:ind w:left="357"/>
              <w:rPr>
                <w:szCs w:val="21"/>
                <w:lang w:val="en-GB" w:eastAsia="zh-CN"/>
              </w:rPr>
            </w:pPr>
            <w:r>
              <w:rPr>
                <w:rFonts w:hint="eastAsia"/>
              </w:rPr>
              <w:t>杜威</w:t>
            </w:r>
            <w:r>
              <w:rPr>
                <w:rFonts w:hint="eastAsia"/>
                <w:lang w:eastAsia="zh-CN"/>
              </w:rPr>
              <w:t>或同档次品牌</w:t>
            </w:r>
          </w:p>
        </w:tc>
        <w:tc>
          <w:tcPr>
            <w:tcW w:w="4252" w:type="dxa"/>
            <w:tcBorders>
              <w:top w:val="nil"/>
              <w:left w:val="nil"/>
              <w:bottom w:val="single" w:color="auto" w:sz="4" w:space="0"/>
              <w:right w:val="single" w:color="auto" w:sz="4" w:space="0"/>
            </w:tcBorders>
            <w:vAlign w:val="center"/>
          </w:tcPr>
          <w:p>
            <w:pPr>
              <w:pStyle w:val="41"/>
              <w:spacing w:line="360" w:lineRule="auto"/>
              <w:ind w:left="357"/>
              <w:rPr>
                <w:szCs w:val="21"/>
                <w:lang w:val="en-GB" w:eastAsia="zh-CN"/>
              </w:rPr>
            </w:pPr>
            <w:r>
              <w:rPr>
                <w:rFonts w:hint="eastAsia"/>
                <w:szCs w:val="21"/>
                <w:lang w:val="en-GB" w:eastAsia="zh-CN"/>
              </w:rPr>
              <w:t>/</w:t>
            </w:r>
          </w:p>
        </w:tc>
      </w:tr>
      <w:tr>
        <w:tblPrEx>
          <w:tblCellMar>
            <w:top w:w="0" w:type="dxa"/>
            <w:left w:w="108" w:type="dxa"/>
            <w:bottom w:w="0" w:type="dxa"/>
            <w:right w:w="108" w:type="dxa"/>
          </w:tblCellMar>
        </w:tblPrEx>
        <w:trPr>
          <w:trHeight w:val="315" w:hRule="atLeast"/>
          <w:jc w:val="center"/>
        </w:trPr>
        <w:tc>
          <w:tcPr>
            <w:tcW w:w="2155" w:type="dxa"/>
            <w:tcBorders>
              <w:top w:val="nil"/>
              <w:left w:val="single" w:color="auto" w:sz="4" w:space="0"/>
              <w:bottom w:val="single" w:color="auto" w:sz="4" w:space="0"/>
              <w:right w:val="single" w:color="auto" w:sz="4" w:space="0"/>
            </w:tcBorders>
            <w:vAlign w:val="center"/>
          </w:tcPr>
          <w:p>
            <w:pPr>
              <w:pStyle w:val="41"/>
              <w:spacing w:line="360" w:lineRule="auto"/>
              <w:ind w:left="357"/>
              <w:jc w:val="left"/>
              <w:rPr>
                <w:szCs w:val="21"/>
              </w:rPr>
            </w:pPr>
            <w:r>
              <w:rPr>
                <w:rFonts w:hint="eastAsia"/>
                <w:szCs w:val="21"/>
              </w:rPr>
              <w:t>微型打印机</w:t>
            </w:r>
          </w:p>
        </w:tc>
        <w:tc>
          <w:tcPr>
            <w:tcW w:w="3794" w:type="dxa"/>
            <w:tcBorders>
              <w:top w:val="nil"/>
              <w:left w:val="nil"/>
              <w:bottom w:val="single" w:color="auto" w:sz="4" w:space="0"/>
              <w:right w:val="single" w:color="auto" w:sz="4" w:space="0"/>
            </w:tcBorders>
            <w:vAlign w:val="center"/>
          </w:tcPr>
          <w:p>
            <w:pPr>
              <w:pStyle w:val="41"/>
              <w:spacing w:line="360" w:lineRule="auto"/>
              <w:ind w:left="357"/>
            </w:pPr>
            <w:r>
              <w:rPr>
                <w:rFonts w:hint="eastAsia"/>
              </w:rPr>
              <w:t>炜煌</w:t>
            </w:r>
            <w:r>
              <w:rPr>
                <w:rFonts w:hint="eastAsia"/>
                <w:lang w:eastAsia="zh-CN"/>
              </w:rPr>
              <w:t>或其他标准品牌</w:t>
            </w:r>
          </w:p>
        </w:tc>
        <w:tc>
          <w:tcPr>
            <w:tcW w:w="4252" w:type="dxa"/>
            <w:tcBorders>
              <w:top w:val="nil"/>
              <w:left w:val="nil"/>
              <w:bottom w:val="single" w:color="auto" w:sz="4" w:space="0"/>
              <w:right w:val="single" w:color="auto" w:sz="4" w:space="0"/>
            </w:tcBorders>
            <w:vAlign w:val="center"/>
          </w:tcPr>
          <w:p>
            <w:pPr>
              <w:pStyle w:val="41"/>
              <w:spacing w:line="360" w:lineRule="auto"/>
              <w:ind w:left="357"/>
              <w:rPr>
                <w:szCs w:val="21"/>
                <w:lang w:val="en-GB" w:eastAsia="zh-CN"/>
              </w:rPr>
            </w:pPr>
            <w:r>
              <w:rPr>
                <w:rFonts w:hint="eastAsia"/>
                <w:szCs w:val="21"/>
                <w:lang w:val="en-GB" w:eastAsia="zh-CN"/>
              </w:rPr>
              <w:t>/</w:t>
            </w:r>
          </w:p>
        </w:tc>
      </w:tr>
      <w:tr>
        <w:tblPrEx>
          <w:tblCellMar>
            <w:top w:w="0" w:type="dxa"/>
            <w:left w:w="108" w:type="dxa"/>
            <w:bottom w:w="0" w:type="dxa"/>
            <w:right w:w="108" w:type="dxa"/>
          </w:tblCellMar>
        </w:tblPrEx>
        <w:trPr>
          <w:trHeight w:val="315" w:hRule="atLeast"/>
          <w:jc w:val="center"/>
        </w:trPr>
        <w:tc>
          <w:tcPr>
            <w:tcW w:w="2155" w:type="dxa"/>
            <w:tcBorders>
              <w:top w:val="nil"/>
              <w:left w:val="single" w:color="auto" w:sz="4" w:space="0"/>
              <w:bottom w:val="single" w:color="auto" w:sz="4" w:space="0"/>
              <w:right w:val="single" w:color="auto" w:sz="4" w:space="0"/>
            </w:tcBorders>
            <w:vAlign w:val="center"/>
          </w:tcPr>
          <w:p>
            <w:pPr>
              <w:pStyle w:val="41"/>
              <w:spacing w:line="360" w:lineRule="auto"/>
              <w:ind w:left="357"/>
              <w:jc w:val="left"/>
              <w:rPr>
                <w:szCs w:val="21"/>
              </w:rPr>
            </w:pPr>
            <w:r>
              <w:rPr>
                <w:rFonts w:hint="eastAsia"/>
                <w:szCs w:val="21"/>
              </w:rPr>
              <w:t>温度记录仪</w:t>
            </w:r>
          </w:p>
        </w:tc>
        <w:tc>
          <w:tcPr>
            <w:tcW w:w="3794" w:type="dxa"/>
            <w:tcBorders>
              <w:top w:val="nil"/>
              <w:left w:val="nil"/>
              <w:bottom w:val="single" w:color="auto" w:sz="4" w:space="0"/>
              <w:right w:val="single" w:color="auto" w:sz="4" w:space="0"/>
            </w:tcBorders>
            <w:vAlign w:val="center"/>
          </w:tcPr>
          <w:p>
            <w:pPr>
              <w:pStyle w:val="41"/>
              <w:spacing w:line="360" w:lineRule="auto"/>
              <w:ind w:left="357"/>
            </w:pPr>
            <w:r>
              <w:rPr>
                <w:rFonts w:hint="eastAsia"/>
              </w:rPr>
              <w:t>横河</w:t>
            </w:r>
            <w:r>
              <w:rPr>
                <w:rFonts w:hint="eastAsia"/>
                <w:lang w:eastAsia="zh-CN"/>
              </w:rPr>
              <w:t>或其他标准品牌</w:t>
            </w:r>
          </w:p>
        </w:tc>
        <w:tc>
          <w:tcPr>
            <w:tcW w:w="4252" w:type="dxa"/>
            <w:tcBorders>
              <w:top w:val="nil"/>
              <w:left w:val="nil"/>
              <w:bottom w:val="single" w:color="auto" w:sz="4" w:space="0"/>
              <w:right w:val="single" w:color="auto" w:sz="4" w:space="0"/>
            </w:tcBorders>
            <w:vAlign w:val="center"/>
          </w:tcPr>
          <w:p>
            <w:pPr>
              <w:pStyle w:val="41"/>
              <w:spacing w:line="360" w:lineRule="auto"/>
              <w:ind w:left="357"/>
              <w:rPr>
                <w:szCs w:val="21"/>
                <w:lang w:val="en-GB" w:eastAsia="zh-CN"/>
              </w:rPr>
            </w:pPr>
            <w:r>
              <w:rPr>
                <w:rFonts w:hint="eastAsia"/>
                <w:szCs w:val="21"/>
                <w:lang w:val="en-GB" w:eastAsia="zh-CN"/>
              </w:rPr>
              <w:t>/</w:t>
            </w:r>
          </w:p>
        </w:tc>
      </w:tr>
      <w:tr>
        <w:tblPrEx>
          <w:tblCellMar>
            <w:top w:w="0" w:type="dxa"/>
            <w:left w:w="108" w:type="dxa"/>
            <w:bottom w:w="0" w:type="dxa"/>
            <w:right w:w="108" w:type="dxa"/>
          </w:tblCellMar>
        </w:tblPrEx>
        <w:trPr>
          <w:trHeight w:val="315" w:hRule="atLeast"/>
          <w:jc w:val="center"/>
        </w:trPr>
        <w:tc>
          <w:tcPr>
            <w:tcW w:w="2155" w:type="dxa"/>
            <w:tcBorders>
              <w:top w:val="nil"/>
              <w:left w:val="single" w:color="auto" w:sz="4" w:space="0"/>
              <w:bottom w:val="single" w:color="auto" w:sz="4" w:space="0"/>
              <w:right w:val="single" w:color="auto" w:sz="4" w:space="0"/>
            </w:tcBorders>
            <w:vAlign w:val="center"/>
          </w:tcPr>
          <w:p>
            <w:pPr>
              <w:pStyle w:val="41"/>
              <w:spacing w:line="360" w:lineRule="auto"/>
              <w:ind w:left="357"/>
              <w:jc w:val="left"/>
              <w:rPr>
                <w:szCs w:val="21"/>
              </w:rPr>
            </w:pPr>
            <w:r>
              <w:rPr>
                <w:rFonts w:hint="eastAsia"/>
                <w:szCs w:val="21"/>
              </w:rPr>
              <w:t>微压差变送器</w:t>
            </w:r>
          </w:p>
        </w:tc>
        <w:tc>
          <w:tcPr>
            <w:tcW w:w="3794" w:type="dxa"/>
            <w:tcBorders>
              <w:top w:val="nil"/>
              <w:left w:val="nil"/>
              <w:bottom w:val="single" w:color="auto" w:sz="4" w:space="0"/>
              <w:right w:val="single" w:color="auto" w:sz="4" w:space="0"/>
            </w:tcBorders>
            <w:vAlign w:val="center"/>
          </w:tcPr>
          <w:p>
            <w:pPr>
              <w:pStyle w:val="41"/>
              <w:spacing w:line="360" w:lineRule="auto"/>
              <w:ind w:left="357"/>
              <w:rPr>
                <w:lang w:eastAsia="zh-CN"/>
              </w:rPr>
            </w:pPr>
            <w:r>
              <w:rPr>
                <w:rFonts w:hint="eastAsia"/>
                <w:lang w:eastAsia="zh-CN"/>
              </w:rPr>
              <w:t>美国西特或其他标准品牌</w:t>
            </w:r>
          </w:p>
        </w:tc>
        <w:tc>
          <w:tcPr>
            <w:tcW w:w="4252" w:type="dxa"/>
            <w:tcBorders>
              <w:top w:val="nil"/>
              <w:left w:val="nil"/>
              <w:bottom w:val="single" w:color="auto" w:sz="4" w:space="0"/>
              <w:right w:val="single" w:color="auto" w:sz="4" w:space="0"/>
            </w:tcBorders>
            <w:vAlign w:val="center"/>
          </w:tcPr>
          <w:p>
            <w:pPr>
              <w:pStyle w:val="41"/>
              <w:spacing w:line="360" w:lineRule="auto"/>
              <w:ind w:left="357"/>
              <w:rPr>
                <w:szCs w:val="21"/>
                <w:lang w:val="en-GB" w:eastAsia="zh-CN"/>
              </w:rPr>
            </w:pPr>
            <w:r>
              <w:rPr>
                <w:rFonts w:hint="eastAsia"/>
                <w:szCs w:val="21"/>
                <w:lang w:val="en-GB" w:eastAsia="zh-CN"/>
              </w:rPr>
              <w:t>/</w:t>
            </w:r>
          </w:p>
        </w:tc>
      </w:tr>
      <w:tr>
        <w:tblPrEx>
          <w:tblCellMar>
            <w:top w:w="0" w:type="dxa"/>
            <w:left w:w="108" w:type="dxa"/>
            <w:bottom w:w="0" w:type="dxa"/>
            <w:right w:w="108" w:type="dxa"/>
          </w:tblCellMar>
        </w:tblPrEx>
        <w:trPr>
          <w:trHeight w:val="315" w:hRule="atLeast"/>
          <w:jc w:val="center"/>
        </w:trPr>
        <w:tc>
          <w:tcPr>
            <w:tcW w:w="2155" w:type="dxa"/>
            <w:tcBorders>
              <w:top w:val="nil"/>
              <w:left w:val="single" w:color="auto" w:sz="4" w:space="0"/>
              <w:bottom w:val="single" w:color="auto" w:sz="4" w:space="0"/>
              <w:right w:val="single" w:color="auto" w:sz="4" w:space="0"/>
            </w:tcBorders>
            <w:vAlign w:val="center"/>
          </w:tcPr>
          <w:p>
            <w:pPr>
              <w:pStyle w:val="41"/>
              <w:spacing w:line="360" w:lineRule="auto"/>
              <w:ind w:left="357"/>
              <w:jc w:val="left"/>
              <w:rPr>
                <w:szCs w:val="21"/>
                <w:lang w:eastAsia="zh-CN"/>
              </w:rPr>
            </w:pPr>
            <w:r>
              <w:rPr>
                <w:rFonts w:hint="eastAsia"/>
              </w:rPr>
              <w:t>接线端子</w:t>
            </w:r>
          </w:p>
        </w:tc>
        <w:tc>
          <w:tcPr>
            <w:tcW w:w="3794" w:type="dxa"/>
            <w:tcBorders>
              <w:top w:val="nil"/>
              <w:left w:val="nil"/>
              <w:bottom w:val="single" w:color="auto" w:sz="4" w:space="0"/>
              <w:right w:val="single" w:color="auto" w:sz="4" w:space="0"/>
            </w:tcBorders>
            <w:vAlign w:val="center"/>
          </w:tcPr>
          <w:p>
            <w:pPr>
              <w:pStyle w:val="41"/>
              <w:spacing w:line="360" w:lineRule="auto"/>
              <w:ind w:left="357"/>
            </w:pPr>
            <w:r>
              <w:rPr>
                <w:rFonts w:hint="eastAsia"/>
              </w:rPr>
              <w:t>天逸</w:t>
            </w:r>
            <w:r>
              <w:rPr>
                <w:rFonts w:hint="eastAsia"/>
                <w:lang w:eastAsia="zh-CN"/>
              </w:rPr>
              <w:t>或其他标准品牌</w:t>
            </w:r>
          </w:p>
        </w:tc>
        <w:tc>
          <w:tcPr>
            <w:tcW w:w="4252" w:type="dxa"/>
            <w:tcBorders>
              <w:top w:val="nil"/>
              <w:left w:val="nil"/>
              <w:bottom w:val="single" w:color="auto" w:sz="4" w:space="0"/>
              <w:right w:val="single" w:color="auto" w:sz="4" w:space="0"/>
            </w:tcBorders>
            <w:vAlign w:val="center"/>
          </w:tcPr>
          <w:p>
            <w:pPr>
              <w:pStyle w:val="41"/>
              <w:spacing w:line="360" w:lineRule="auto"/>
              <w:ind w:left="357"/>
              <w:rPr>
                <w:szCs w:val="21"/>
                <w:lang w:val="en-GB" w:eastAsia="zh-CN"/>
              </w:rPr>
            </w:pPr>
            <w:r>
              <w:rPr>
                <w:rFonts w:hint="eastAsia"/>
                <w:szCs w:val="21"/>
                <w:lang w:val="en-GB" w:eastAsia="zh-CN"/>
              </w:rPr>
              <w:t>/</w:t>
            </w:r>
          </w:p>
        </w:tc>
      </w:tr>
      <w:tr>
        <w:tblPrEx>
          <w:tblCellMar>
            <w:top w:w="0" w:type="dxa"/>
            <w:left w:w="108" w:type="dxa"/>
            <w:bottom w:w="0" w:type="dxa"/>
            <w:right w:w="108" w:type="dxa"/>
          </w:tblCellMar>
        </w:tblPrEx>
        <w:trPr>
          <w:trHeight w:val="315" w:hRule="atLeast"/>
          <w:jc w:val="center"/>
        </w:trPr>
        <w:tc>
          <w:tcPr>
            <w:tcW w:w="2155" w:type="dxa"/>
            <w:tcBorders>
              <w:top w:val="nil"/>
              <w:left w:val="single" w:color="auto" w:sz="4" w:space="0"/>
              <w:bottom w:val="single" w:color="auto" w:sz="4" w:space="0"/>
              <w:right w:val="single" w:color="auto" w:sz="4" w:space="0"/>
            </w:tcBorders>
            <w:vAlign w:val="center"/>
          </w:tcPr>
          <w:p>
            <w:pPr>
              <w:pStyle w:val="41"/>
              <w:spacing w:line="360" w:lineRule="auto"/>
              <w:ind w:left="357"/>
              <w:jc w:val="left"/>
              <w:rPr>
                <w:szCs w:val="21"/>
              </w:rPr>
            </w:pPr>
            <w:r>
              <w:rPr>
                <w:rFonts w:hint="eastAsia"/>
                <w:szCs w:val="21"/>
              </w:rPr>
              <w:t>散热风扇</w:t>
            </w:r>
          </w:p>
        </w:tc>
        <w:tc>
          <w:tcPr>
            <w:tcW w:w="3794" w:type="dxa"/>
            <w:tcBorders>
              <w:top w:val="nil"/>
              <w:left w:val="nil"/>
              <w:bottom w:val="single" w:color="auto" w:sz="4" w:space="0"/>
              <w:right w:val="single" w:color="auto" w:sz="4" w:space="0"/>
            </w:tcBorders>
            <w:vAlign w:val="center"/>
          </w:tcPr>
          <w:p>
            <w:pPr>
              <w:pStyle w:val="41"/>
              <w:spacing w:line="360" w:lineRule="auto"/>
              <w:ind w:left="357"/>
            </w:pPr>
            <w:r>
              <w:rPr>
                <w:rFonts w:hint="eastAsia"/>
              </w:rPr>
              <w:t>金锐</w:t>
            </w:r>
            <w:r>
              <w:rPr>
                <w:rFonts w:hint="eastAsia"/>
                <w:lang w:eastAsia="zh-CN"/>
              </w:rPr>
              <w:t>或其他标准品牌</w:t>
            </w:r>
          </w:p>
        </w:tc>
        <w:tc>
          <w:tcPr>
            <w:tcW w:w="4252" w:type="dxa"/>
            <w:tcBorders>
              <w:top w:val="nil"/>
              <w:left w:val="nil"/>
              <w:bottom w:val="single" w:color="auto" w:sz="4" w:space="0"/>
              <w:right w:val="single" w:color="auto" w:sz="4" w:space="0"/>
            </w:tcBorders>
            <w:vAlign w:val="center"/>
          </w:tcPr>
          <w:p>
            <w:pPr>
              <w:pStyle w:val="41"/>
              <w:spacing w:line="360" w:lineRule="auto"/>
              <w:ind w:left="357"/>
              <w:rPr>
                <w:szCs w:val="21"/>
                <w:lang w:val="en-GB" w:eastAsia="zh-CN"/>
              </w:rPr>
            </w:pPr>
            <w:r>
              <w:rPr>
                <w:rFonts w:hint="eastAsia"/>
                <w:szCs w:val="21"/>
                <w:lang w:val="en-GB" w:eastAsia="zh-CN"/>
              </w:rPr>
              <w:t>/</w:t>
            </w:r>
          </w:p>
        </w:tc>
      </w:tr>
      <w:tr>
        <w:tblPrEx>
          <w:tblCellMar>
            <w:top w:w="0" w:type="dxa"/>
            <w:left w:w="108" w:type="dxa"/>
            <w:bottom w:w="0" w:type="dxa"/>
            <w:right w:w="108" w:type="dxa"/>
          </w:tblCellMar>
        </w:tblPrEx>
        <w:trPr>
          <w:trHeight w:val="315" w:hRule="atLeast"/>
          <w:jc w:val="center"/>
        </w:trPr>
        <w:tc>
          <w:tcPr>
            <w:tcW w:w="2155" w:type="dxa"/>
            <w:tcBorders>
              <w:top w:val="nil"/>
              <w:left w:val="single" w:color="auto" w:sz="4" w:space="0"/>
              <w:bottom w:val="single" w:color="auto" w:sz="4" w:space="0"/>
              <w:right w:val="single" w:color="auto" w:sz="4" w:space="0"/>
            </w:tcBorders>
            <w:vAlign w:val="center"/>
          </w:tcPr>
          <w:p>
            <w:pPr>
              <w:pStyle w:val="41"/>
              <w:spacing w:line="360" w:lineRule="auto"/>
              <w:ind w:left="357"/>
              <w:jc w:val="left"/>
              <w:rPr>
                <w:szCs w:val="21"/>
              </w:rPr>
            </w:pPr>
            <w:r>
              <w:rPr>
                <w:rFonts w:hint="eastAsia"/>
                <w:szCs w:val="21"/>
              </w:rPr>
              <w:t>PT100热电阻</w:t>
            </w:r>
          </w:p>
        </w:tc>
        <w:tc>
          <w:tcPr>
            <w:tcW w:w="3794" w:type="dxa"/>
            <w:tcBorders>
              <w:top w:val="nil"/>
              <w:left w:val="nil"/>
              <w:bottom w:val="single" w:color="auto" w:sz="4" w:space="0"/>
              <w:right w:val="single" w:color="auto" w:sz="4" w:space="0"/>
            </w:tcBorders>
            <w:vAlign w:val="center"/>
          </w:tcPr>
          <w:p>
            <w:pPr>
              <w:pStyle w:val="41"/>
              <w:spacing w:line="360" w:lineRule="auto"/>
              <w:ind w:left="357"/>
              <w:rPr>
                <w:lang w:eastAsia="zh-CN"/>
              </w:rPr>
            </w:pPr>
            <w:r>
              <w:rPr>
                <w:rFonts w:hint="eastAsia"/>
                <w:lang w:eastAsia="zh-CN"/>
              </w:rPr>
              <w:t>德国久茂或其他标准品牌</w:t>
            </w:r>
          </w:p>
        </w:tc>
        <w:tc>
          <w:tcPr>
            <w:tcW w:w="4252" w:type="dxa"/>
            <w:tcBorders>
              <w:top w:val="nil"/>
              <w:left w:val="nil"/>
              <w:bottom w:val="single" w:color="auto" w:sz="4" w:space="0"/>
              <w:right w:val="single" w:color="auto" w:sz="4" w:space="0"/>
            </w:tcBorders>
            <w:vAlign w:val="center"/>
          </w:tcPr>
          <w:p>
            <w:pPr>
              <w:pStyle w:val="41"/>
              <w:spacing w:line="360" w:lineRule="auto"/>
              <w:ind w:left="357"/>
              <w:rPr>
                <w:szCs w:val="21"/>
                <w:lang w:val="en-GB" w:eastAsia="zh-CN"/>
              </w:rPr>
            </w:pPr>
            <w:r>
              <w:rPr>
                <w:rFonts w:hint="eastAsia"/>
                <w:szCs w:val="21"/>
                <w:lang w:val="en-GB" w:eastAsia="zh-CN"/>
              </w:rPr>
              <w:t>/</w:t>
            </w:r>
          </w:p>
        </w:tc>
      </w:tr>
      <w:tr>
        <w:tblPrEx>
          <w:tblCellMar>
            <w:top w:w="0" w:type="dxa"/>
            <w:left w:w="108" w:type="dxa"/>
            <w:bottom w:w="0" w:type="dxa"/>
            <w:right w:w="108" w:type="dxa"/>
          </w:tblCellMar>
        </w:tblPrEx>
        <w:trPr>
          <w:trHeight w:val="315" w:hRule="atLeast"/>
          <w:jc w:val="center"/>
        </w:trPr>
        <w:tc>
          <w:tcPr>
            <w:tcW w:w="2155" w:type="dxa"/>
            <w:tcBorders>
              <w:top w:val="nil"/>
              <w:left w:val="single" w:color="auto" w:sz="4" w:space="0"/>
              <w:bottom w:val="single" w:color="auto" w:sz="4" w:space="0"/>
              <w:right w:val="single" w:color="auto" w:sz="4" w:space="0"/>
            </w:tcBorders>
            <w:vAlign w:val="center"/>
          </w:tcPr>
          <w:p>
            <w:pPr>
              <w:pStyle w:val="41"/>
              <w:spacing w:line="360" w:lineRule="auto"/>
              <w:ind w:left="357"/>
              <w:jc w:val="left"/>
              <w:rPr>
                <w:szCs w:val="21"/>
              </w:rPr>
            </w:pPr>
            <w:r>
              <w:rPr>
                <w:rFonts w:hint="eastAsia"/>
                <w:szCs w:val="21"/>
              </w:rPr>
              <w:t>进风风机</w:t>
            </w:r>
          </w:p>
        </w:tc>
        <w:tc>
          <w:tcPr>
            <w:tcW w:w="3794" w:type="dxa"/>
            <w:tcBorders>
              <w:top w:val="nil"/>
              <w:left w:val="nil"/>
              <w:bottom w:val="single" w:color="auto" w:sz="4" w:space="0"/>
              <w:right w:val="single" w:color="auto" w:sz="4" w:space="0"/>
            </w:tcBorders>
            <w:vAlign w:val="center"/>
          </w:tcPr>
          <w:p>
            <w:pPr>
              <w:pStyle w:val="41"/>
              <w:spacing w:line="360" w:lineRule="auto"/>
              <w:ind w:left="357"/>
              <w:rPr>
                <w:lang w:eastAsia="zh-CN"/>
              </w:rPr>
            </w:pPr>
            <w:r>
              <w:rPr>
                <w:rFonts w:hint="eastAsia"/>
                <w:lang w:eastAsia="zh-CN"/>
              </w:rPr>
              <w:t>飞亚机电或其他标准品牌</w:t>
            </w:r>
          </w:p>
        </w:tc>
        <w:tc>
          <w:tcPr>
            <w:tcW w:w="4252" w:type="dxa"/>
            <w:tcBorders>
              <w:top w:val="nil"/>
              <w:left w:val="nil"/>
              <w:bottom w:val="single" w:color="auto" w:sz="4" w:space="0"/>
              <w:right w:val="single" w:color="auto" w:sz="4" w:space="0"/>
            </w:tcBorders>
            <w:vAlign w:val="center"/>
          </w:tcPr>
          <w:p>
            <w:pPr>
              <w:pStyle w:val="41"/>
              <w:spacing w:line="360" w:lineRule="auto"/>
              <w:ind w:left="357"/>
              <w:rPr>
                <w:szCs w:val="21"/>
                <w:lang w:val="en-GB" w:eastAsia="zh-CN"/>
              </w:rPr>
            </w:pPr>
            <w:r>
              <w:rPr>
                <w:rFonts w:hint="eastAsia"/>
                <w:szCs w:val="21"/>
                <w:lang w:val="en-GB" w:eastAsia="zh-CN"/>
              </w:rPr>
              <w:t>/</w:t>
            </w:r>
          </w:p>
        </w:tc>
      </w:tr>
      <w:tr>
        <w:tblPrEx>
          <w:tblCellMar>
            <w:top w:w="0" w:type="dxa"/>
            <w:left w:w="108" w:type="dxa"/>
            <w:bottom w:w="0" w:type="dxa"/>
            <w:right w:w="108" w:type="dxa"/>
          </w:tblCellMar>
        </w:tblPrEx>
        <w:trPr>
          <w:trHeight w:val="315" w:hRule="atLeast"/>
          <w:jc w:val="center"/>
        </w:trPr>
        <w:tc>
          <w:tcPr>
            <w:tcW w:w="2155" w:type="dxa"/>
            <w:tcBorders>
              <w:top w:val="nil"/>
              <w:left w:val="single" w:color="auto" w:sz="4" w:space="0"/>
              <w:bottom w:val="single" w:color="auto" w:sz="4" w:space="0"/>
              <w:right w:val="single" w:color="auto" w:sz="4" w:space="0"/>
            </w:tcBorders>
            <w:vAlign w:val="center"/>
          </w:tcPr>
          <w:p>
            <w:pPr>
              <w:pStyle w:val="41"/>
              <w:spacing w:line="360" w:lineRule="auto"/>
              <w:ind w:left="357"/>
              <w:jc w:val="left"/>
              <w:rPr>
                <w:szCs w:val="21"/>
              </w:rPr>
            </w:pPr>
            <w:r>
              <w:rPr>
                <w:rFonts w:hint="eastAsia"/>
                <w:szCs w:val="21"/>
              </w:rPr>
              <w:t>单向可逆电机</w:t>
            </w:r>
          </w:p>
        </w:tc>
        <w:tc>
          <w:tcPr>
            <w:tcW w:w="3794" w:type="dxa"/>
            <w:tcBorders>
              <w:top w:val="nil"/>
              <w:left w:val="nil"/>
              <w:bottom w:val="single" w:color="auto" w:sz="4" w:space="0"/>
              <w:right w:val="single" w:color="auto" w:sz="4" w:space="0"/>
            </w:tcBorders>
            <w:vAlign w:val="center"/>
          </w:tcPr>
          <w:p>
            <w:pPr>
              <w:pStyle w:val="41"/>
              <w:spacing w:line="360" w:lineRule="auto"/>
              <w:ind w:left="357"/>
            </w:pPr>
            <w:r>
              <w:rPr>
                <w:rFonts w:hint="eastAsia"/>
              </w:rPr>
              <w:t>迈力</w:t>
            </w:r>
            <w:r>
              <w:rPr>
                <w:rFonts w:hint="eastAsia"/>
                <w:lang w:eastAsia="zh-CN"/>
              </w:rPr>
              <w:t>或其他标准品牌</w:t>
            </w:r>
          </w:p>
        </w:tc>
        <w:tc>
          <w:tcPr>
            <w:tcW w:w="4252" w:type="dxa"/>
            <w:tcBorders>
              <w:top w:val="nil"/>
              <w:left w:val="nil"/>
              <w:bottom w:val="single" w:color="auto" w:sz="4" w:space="0"/>
              <w:right w:val="single" w:color="auto" w:sz="4" w:space="0"/>
            </w:tcBorders>
            <w:vAlign w:val="center"/>
          </w:tcPr>
          <w:p>
            <w:pPr>
              <w:pStyle w:val="41"/>
              <w:spacing w:line="360" w:lineRule="auto"/>
              <w:ind w:left="357"/>
              <w:rPr>
                <w:szCs w:val="21"/>
                <w:lang w:val="en-GB" w:eastAsia="zh-CN"/>
              </w:rPr>
            </w:pPr>
            <w:r>
              <w:rPr>
                <w:rFonts w:hint="eastAsia"/>
                <w:szCs w:val="21"/>
                <w:lang w:val="en-GB" w:eastAsia="zh-CN"/>
              </w:rPr>
              <w:t>/</w:t>
            </w:r>
          </w:p>
        </w:tc>
      </w:tr>
      <w:tr>
        <w:tblPrEx>
          <w:tblCellMar>
            <w:top w:w="0" w:type="dxa"/>
            <w:left w:w="108" w:type="dxa"/>
            <w:bottom w:w="0" w:type="dxa"/>
            <w:right w:w="108" w:type="dxa"/>
          </w:tblCellMar>
        </w:tblPrEx>
        <w:trPr>
          <w:trHeight w:val="315" w:hRule="atLeast"/>
          <w:jc w:val="center"/>
        </w:trPr>
        <w:tc>
          <w:tcPr>
            <w:tcW w:w="2155" w:type="dxa"/>
            <w:tcBorders>
              <w:top w:val="nil"/>
              <w:left w:val="single" w:color="auto" w:sz="4" w:space="0"/>
              <w:bottom w:val="single" w:color="auto" w:sz="4" w:space="0"/>
              <w:right w:val="single" w:color="auto" w:sz="4" w:space="0"/>
            </w:tcBorders>
            <w:vAlign w:val="center"/>
          </w:tcPr>
          <w:p>
            <w:pPr>
              <w:pStyle w:val="41"/>
              <w:spacing w:line="360" w:lineRule="auto"/>
              <w:ind w:left="357"/>
              <w:jc w:val="left"/>
              <w:rPr>
                <w:szCs w:val="21"/>
              </w:rPr>
            </w:pPr>
            <w:r>
              <w:rPr>
                <w:rFonts w:hint="eastAsia"/>
                <w:szCs w:val="21"/>
              </w:rPr>
              <w:t>齿轮减速机</w:t>
            </w:r>
          </w:p>
        </w:tc>
        <w:tc>
          <w:tcPr>
            <w:tcW w:w="3794" w:type="dxa"/>
            <w:tcBorders>
              <w:top w:val="nil"/>
              <w:left w:val="nil"/>
              <w:bottom w:val="single" w:color="auto" w:sz="4" w:space="0"/>
              <w:right w:val="single" w:color="auto" w:sz="4" w:space="0"/>
            </w:tcBorders>
            <w:vAlign w:val="center"/>
          </w:tcPr>
          <w:p>
            <w:pPr>
              <w:pStyle w:val="41"/>
              <w:spacing w:line="360" w:lineRule="auto"/>
              <w:ind w:left="357"/>
            </w:pPr>
            <w:r>
              <w:rPr>
                <w:rFonts w:hint="eastAsia"/>
                <w:szCs w:val="21"/>
              </w:rPr>
              <w:t>午马</w:t>
            </w:r>
            <w:r>
              <w:rPr>
                <w:rFonts w:hint="eastAsia"/>
                <w:lang w:eastAsia="zh-CN"/>
              </w:rPr>
              <w:t>或其他标准品牌</w:t>
            </w:r>
          </w:p>
        </w:tc>
        <w:tc>
          <w:tcPr>
            <w:tcW w:w="4252" w:type="dxa"/>
            <w:tcBorders>
              <w:top w:val="nil"/>
              <w:left w:val="nil"/>
              <w:bottom w:val="single" w:color="auto" w:sz="4" w:space="0"/>
              <w:right w:val="single" w:color="auto" w:sz="4" w:space="0"/>
            </w:tcBorders>
            <w:vAlign w:val="center"/>
          </w:tcPr>
          <w:p>
            <w:pPr>
              <w:pStyle w:val="41"/>
              <w:spacing w:line="360" w:lineRule="auto"/>
              <w:ind w:left="357"/>
              <w:rPr>
                <w:szCs w:val="21"/>
                <w:lang w:val="en-GB" w:eastAsia="zh-CN"/>
              </w:rPr>
            </w:pPr>
            <w:r>
              <w:rPr>
                <w:rFonts w:hint="eastAsia"/>
                <w:szCs w:val="21"/>
                <w:lang w:val="en-GB" w:eastAsia="zh-CN"/>
              </w:rPr>
              <w:t>/</w:t>
            </w:r>
          </w:p>
        </w:tc>
      </w:tr>
      <w:tr>
        <w:tblPrEx>
          <w:tblCellMar>
            <w:top w:w="0" w:type="dxa"/>
            <w:left w:w="108" w:type="dxa"/>
            <w:bottom w:w="0" w:type="dxa"/>
            <w:right w:w="108" w:type="dxa"/>
          </w:tblCellMar>
        </w:tblPrEx>
        <w:trPr>
          <w:trHeight w:val="315" w:hRule="atLeast"/>
          <w:jc w:val="center"/>
        </w:trPr>
        <w:tc>
          <w:tcPr>
            <w:tcW w:w="2155" w:type="dxa"/>
            <w:tcBorders>
              <w:top w:val="nil"/>
              <w:left w:val="single" w:color="auto" w:sz="4" w:space="0"/>
              <w:bottom w:val="single" w:color="auto" w:sz="4" w:space="0"/>
              <w:right w:val="single" w:color="auto" w:sz="4" w:space="0"/>
            </w:tcBorders>
            <w:vAlign w:val="center"/>
          </w:tcPr>
          <w:p>
            <w:pPr>
              <w:pStyle w:val="41"/>
              <w:spacing w:line="360" w:lineRule="auto"/>
              <w:ind w:left="357"/>
              <w:jc w:val="left"/>
              <w:rPr>
                <w:szCs w:val="21"/>
              </w:rPr>
            </w:pPr>
            <w:r>
              <w:rPr>
                <w:rFonts w:hint="eastAsia"/>
                <w:szCs w:val="21"/>
              </w:rPr>
              <w:t>循环风机</w:t>
            </w:r>
          </w:p>
        </w:tc>
        <w:tc>
          <w:tcPr>
            <w:tcW w:w="3794" w:type="dxa"/>
            <w:tcBorders>
              <w:top w:val="nil"/>
              <w:left w:val="nil"/>
              <w:bottom w:val="single" w:color="auto" w:sz="4" w:space="0"/>
              <w:right w:val="single" w:color="auto" w:sz="4" w:space="0"/>
            </w:tcBorders>
            <w:vAlign w:val="center"/>
          </w:tcPr>
          <w:p>
            <w:pPr>
              <w:pStyle w:val="41"/>
              <w:spacing w:line="360" w:lineRule="auto"/>
              <w:ind w:left="357"/>
              <w:rPr>
                <w:lang w:eastAsia="zh-CN"/>
              </w:rPr>
            </w:pPr>
            <w:r>
              <w:rPr>
                <w:rFonts w:hint="eastAsia"/>
                <w:lang w:eastAsia="zh-CN"/>
              </w:rPr>
              <w:t>中欣或其他标准品牌</w:t>
            </w:r>
          </w:p>
        </w:tc>
        <w:tc>
          <w:tcPr>
            <w:tcW w:w="4252" w:type="dxa"/>
            <w:tcBorders>
              <w:top w:val="nil"/>
              <w:left w:val="nil"/>
              <w:bottom w:val="single" w:color="auto" w:sz="4" w:space="0"/>
              <w:right w:val="single" w:color="auto" w:sz="4" w:space="0"/>
            </w:tcBorders>
            <w:vAlign w:val="center"/>
          </w:tcPr>
          <w:p>
            <w:pPr>
              <w:pStyle w:val="41"/>
              <w:spacing w:line="360" w:lineRule="auto"/>
              <w:ind w:left="357"/>
              <w:rPr>
                <w:szCs w:val="21"/>
                <w:lang w:val="en-GB" w:eastAsia="zh-CN"/>
              </w:rPr>
            </w:pPr>
            <w:r>
              <w:rPr>
                <w:rFonts w:hint="eastAsia"/>
                <w:szCs w:val="21"/>
                <w:lang w:val="en-GB" w:eastAsia="zh-CN"/>
              </w:rPr>
              <w:t>/</w:t>
            </w:r>
          </w:p>
        </w:tc>
      </w:tr>
      <w:tr>
        <w:tblPrEx>
          <w:tblCellMar>
            <w:top w:w="0" w:type="dxa"/>
            <w:left w:w="108" w:type="dxa"/>
            <w:bottom w:w="0" w:type="dxa"/>
            <w:right w:w="108" w:type="dxa"/>
          </w:tblCellMar>
        </w:tblPrEx>
        <w:trPr>
          <w:trHeight w:val="315" w:hRule="atLeast"/>
          <w:jc w:val="center"/>
        </w:trPr>
        <w:tc>
          <w:tcPr>
            <w:tcW w:w="2155" w:type="dxa"/>
            <w:tcBorders>
              <w:top w:val="nil"/>
              <w:left w:val="single" w:color="auto" w:sz="4" w:space="0"/>
              <w:bottom w:val="single" w:color="auto" w:sz="4" w:space="0"/>
              <w:right w:val="single" w:color="auto" w:sz="4" w:space="0"/>
            </w:tcBorders>
            <w:vAlign w:val="center"/>
          </w:tcPr>
          <w:p>
            <w:pPr>
              <w:pStyle w:val="41"/>
              <w:spacing w:line="360" w:lineRule="auto"/>
              <w:ind w:left="357"/>
              <w:jc w:val="left"/>
              <w:rPr>
                <w:szCs w:val="21"/>
              </w:rPr>
            </w:pPr>
            <w:r>
              <w:rPr>
                <w:rFonts w:hint="eastAsia"/>
                <w:szCs w:val="21"/>
              </w:rPr>
              <w:t>电热管</w:t>
            </w:r>
          </w:p>
        </w:tc>
        <w:tc>
          <w:tcPr>
            <w:tcW w:w="3794" w:type="dxa"/>
            <w:tcBorders>
              <w:top w:val="nil"/>
              <w:left w:val="nil"/>
              <w:bottom w:val="single" w:color="auto" w:sz="4" w:space="0"/>
              <w:right w:val="single" w:color="auto" w:sz="4" w:space="0"/>
            </w:tcBorders>
            <w:vAlign w:val="center"/>
          </w:tcPr>
          <w:p>
            <w:pPr>
              <w:pStyle w:val="41"/>
              <w:spacing w:line="360" w:lineRule="auto"/>
              <w:ind w:left="357"/>
            </w:pPr>
            <w:r>
              <w:rPr>
                <w:rFonts w:hint="eastAsia"/>
                <w:szCs w:val="21"/>
              </w:rPr>
              <w:t>扬中</w:t>
            </w:r>
            <w:r>
              <w:rPr>
                <w:rFonts w:hint="eastAsia"/>
                <w:lang w:eastAsia="zh-CN"/>
              </w:rPr>
              <w:t>或其他标准品牌</w:t>
            </w:r>
          </w:p>
        </w:tc>
        <w:tc>
          <w:tcPr>
            <w:tcW w:w="4252" w:type="dxa"/>
            <w:tcBorders>
              <w:top w:val="nil"/>
              <w:left w:val="nil"/>
              <w:bottom w:val="single" w:color="auto" w:sz="4" w:space="0"/>
              <w:right w:val="single" w:color="auto" w:sz="4" w:space="0"/>
            </w:tcBorders>
            <w:vAlign w:val="center"/>
          </w:tcPr>
          <w:p>
            <w:pPr>
              <w:pStyle w:val="41"/>
              <w:spacing w:line="360" w:lineRule="auto"/>
              <w:ind w:left="357"/>
              <w:rPr>
                <w:szCs w:val="21"/>
                <w:lang w:val="en-GB" w:eastAsia="zh-CN"/>
              </w:rPr>
            </w:pPr>
            <w:r>
              <w:rPr>
                <w:rFonts w:hint="eastAsia"/>
                <w:szCs w:val="21"/>
                <w:lang w:val="en-GB" w:eastAsia="zh-CN"/>
              </w:rPr>
              <w:t>/</w:t>
            </w:r>
          </w:p>
        </w:tc>
      </w:tr>
      <w:tr>
        <w:tblPrEx>
          <w:tblCellMar>
            <w:top w:w="0" w:type="dxa"/>
            <w:left w:w="108" w:type="dxa"/>
            <w:bottom w:w="0" w:type="dxa"/>
            <w:right w:w="108" w:type="dxa"/>
          </w:tblCellMar>
        </w:tblPrEx>
        <w:trPr>
          <w:trHeight w:val="315" w:hRule="atLeast"/>
          <w:jc w:val="center"/>
        </w:trPr>
        <w:tc>
          <w:tcPr>
            <w:tcW w:w="2155" w:type="dxa"/>
            <w:tcBorders>
              <w:top w:val="nil"/>
              <w:left w:val="single" w:color="auto" w:sz="4" w:space="0"/>
              <w:bottom w:val="single" w:color="auto" w:sz="4" w:space="0"/>
              <w:right w:val="single" w:color="auto" w:sz="4" w:space="0"/>
            </w:tcBorders>
            <w:vAlign w:val="center"/>
          </w:tcPr>
          <w:p>
            <w:pPr>
              <w:pStyle w:val="41"/>
              <w:spacing w:line="360" w:lineRule="auto"/>
              <w:ind w:left="357"/>
              <w:jc w:val="left"/>
              <w:rPr>
                <w:szCs w:val="21"/>
              </w:rPr>
            </w:pPr>
            <w:r>
              <w:rPr>
                <w:rFonts w:hint="eastAsia"/>
              </w:rPr>
              <w:t>柜内照明灯</w:t>
            </w:r>
          </w:p>
        </w:tc>
        <w:tc>
          <w:tcPr>
            <w:tcW w:w="3794" w:type="dxa"/>
            <w:tcBorders>
              <w:top w:val="nil"/>
              <w:left w:val="nil"/>
              <w:bottom w:val="single" w:color="auto" w:sz="4" w:space="0"/>
              <w:right w:val="single" w:color="auto" w:sz="4" w:space="0"/>
            </w:tcBorders>
            <w:vAlign w:val="center"/>
          </w:tcPr>
          <w:p>
            <w:pPr>
              <w:pStyle w:val="41"/>
              <w:spacing w:line="360" w:lineRule="auto"/>
              <w:ind w:left="357"/>
              <w:rPr>
                <w:lang w:eastAsia="zh-CN"/>
              </w:rPr>
            </w:pPr>
            <w:r>
              <w:rPr>
                <w:rFonts w:hint="eastAsia"/>
                <w:lang w:eastAsia="zh-CN"/>
              </w:rPr>
              <w:t>NCV或其他标准品牌</w:t>
            </w:r>
          </w:p>
        </w:tc>
        <w:tc>
          <w:tcPr>
            <w:tcW w:w="4252" w:type="dxa"/>
            <w:tcBorders>
              <w:top w:val="nil"/>
              <w:left w:val="nil"/>
              <w:bottom w:val="single" w:color="auto" w:sz="4" w:space="0"/>
              <w:right w:val="single" w:color="auto" w:sz="4" w:space="0"/>
            </w:tcBorders>
            <w:vAlign w:val="center"/>
          </w:tcPr>
          <w:p>
            <w:pPr>
              <w:pStyle w:val="41"/>
              <w:spacing w:line="360" w:lineRule="auto"/>
              <w:ind w:left="357"/>
              <w:rPr>
                <w:szCs w:val="21"/>
                <w:lang w:val="en-GB" w:eastAsia="zh-CN"/>
              </w:rPr>
            </w:pPr>
            <w:r>
              <w:rPr>
                <w:rFonts w:hint="eastAsia"/>
                <w:szCs w:val="21"/>
                <w:lang w:val="en-GB" w:eastAsia="zh-CN"/>
              </w:rPr>
              <w:t>/</w:t>
            </w:r>
          </w:p>
        </w:tc>
      </w:tr>
      <w:tr>
        <w:tblPrEx>
          <w:tblCellMar>
            <w:top w:w="0" w:type="dxa"/>
            <w:left w:w="108" w:type="dxa"/>
            <w:bottom w:w="0" w:type="dxa"/>
            <w:right w:w="108" w:type="dxa"/>
          </w:tblCellMar>
        </w:tblPrEx>
        <w:trPr>
          <w:trHeight w:val="315" w:hRule="atLeast"/>
          <w:jc w:val="center"/>
        </w:trPr>
        <w:tc>
          <w:tcPr>
            <w:tcW w:w="2155" w:type="dxa"/>
            <w:tcBorders>
              <w:top w:val="nil"/>
              <w:left w:val="single" w:color="auto" w:sz="4" w:space="0"/>
              <w:bottom w:val="single" w:color="auto" w:sz="4" w:space="0"/>
              <w:right w:val="single" w:color="auto" w:sz="4" w:space="0"/>
            </w:tcBorders>
            <w:vAlign w:val="center"/>
          </w:tcPr>
          <w:p>
            <w:pPr>
              <w:pStyle w:val="41"/>
              <w:spacing w:line="360" w:lineRule="auto"/>
              <w:ind w:left="357"/>
              <w:jc w:val="left"/>
              <w:rPr>
                <w:szCs w:val="21"/>
              </w:rPr>
            </w:pPr>
            <w:r>
              <w:rPr>
                <w:rFonts w:hint="eastAsia"/>
              </w:rPr>
              <w:t>电量变送器</w:t>
            </w:r>
          </w:p>
        </w:tc>
        <w:tc>
          <w:tcPr>
            <w:tcW w:w="3794" w:type="dxa"/>
            <w:tcBorders>
              <w:top w:val="nil"/>
              <w:left w:val="nil"/>
              <w:bottom w:val="single" w:color="auto" w:sz="4" w:space="0"/>
              <w:right w:val="single" w:color="auto" w:sz="4" w:space="0"/>
            </w:tcBorders>
            <w:vAlign w:val="center"/>
          </w:tcPr>
          <w:p>
            <w:pPr>
              <w:pStyle w:val="41"/>
              <w:spacing w:line="360" w:lineRule="auto"/>
              <w:ind w:left="357"/>
            </w:pPr>
            <w:r>
              <w:rPr>
                <w:rFonts w:hint="eastAsia"/>
              </w:rPr>
              <w:t>维博</w:t>
            </w:r>
            <w:r>
              <w:rPr>
                <w:rFonts w:hint="eastAsia"/>
                <w:lang w:eastAsia="zh-CN"/>
              </w:rPr>
              <w:t>或其他标准品牌</w:t>
            </w:r>
          </w:p>
        </w:tc>
        <w:tc>
          <w:tcPr>
            <w:tcW w:w="4252" w:type="dxa"/>
            <w:tcBorders>
              <w:top w:val="nil"/>
              <w:left w:val="nil"/>
              <w:bottom w:val="single" w:color="auto" w:sz="4" w:space="0"/>
              <w:right w:val="single" w:color="auto" w:sz="4" w:space="0"/>
            </w:tcBorders>
            <w:vAlign w:val="center"/>
          </w:tcPr>
          <w:p>
            <w:pPr>
              <w:pStyle w:val="41"/>
              <w:spacing w:line="360" w:lineRule="auto"/>
              <w:ind w:left="357"/>
              <w:rPr>
                <w:szCs w:val="21"/>
                <w:lang w:val="en-GB" w:eastAsia="zh-CN"/>
              </w:rPr>
            </w:pPr>
            <w:r>
              <w:rPr>
                <w:rFonts w:hint="eastAsia"/>
                <w:szCs w:val="21"/>
                <w:lang w:val="en-GB" w:eastAsia="zh-CN"/>
              </w:rPr>
              <w:t>/</w:t>
            </w:r>
          </w:p>
        </w:tc>
      </w:tr>
      <w:tr>
        <w:tblPrEx>
          <w:tblCellMar>
            <w:top w:w="0" w:type="dxa"/>
            <w:left w:w="108" w:type="dxa"/>
            <w:bottom w:w="0" w:type="dxa"/>
            <w:right w:w="108" w:type="dxa"/>
          </w:tblCellMar>
        </w:tblPrEx>
        <w:trPr>
          <w:trHeight w:val="315" w:hRule="atLeast"/>
          <w:jc w:val="center"/>
        </w:trPr>
        <w:tc>
          <w:tcPr>
            <w:tcW w:w="2155" w:type="dxa"/>
            <w:tcBorders>
              <w:top w:val="nil"/>
              <w:left w:val="single" w:color="auto" w:sz="4" w:space="0"/>
              <w:bottom w:val="single" w:color="auto" w:sz="4" w:space="0"/>
              <w:right w:val="single" w:color="auto" w:sz="4" w:space="0"/>
            </w:tcBorders>
            <w:vAlign w:val="center"/>
          </w:tcPr>
          <w:p>
            <w:pPr>
              <w:pStyle w:val="41"/>
              <w:spacing w:line="360" w:lineRule="auto"/>
              <w:ind w:left="357"/>
              <w:jc w:val="left"/>
              <w:rPr>
                <w:szCs w:val="21"/>
              </w:rPr>
            </w:pPr>
            <w:r>
              <w:rPr>
                <w:rFonts w:hint="eastAsia"/>
              </w:rPr>
              <w:t>行程开关</w:t>
            </w:r>
          </w:p>
        </w:tc>
        <w:tc>
          <w:tcPr>
            <w:tcW w:w="3794" w:type="dxa"/>
            <w:tcBorders>
              <w:top w:val="nil"/>
              <w:left w:val="nil"/>
              <w:bottom w:val="single" w:color="auto" w:sz="4" w:space="0"/>
              <w:right w:val="single" w:color="auto" w:sz="4" w:space="0"/>
            </w:tcBorders>
            <w:vAlign w:val="center"/>
          </w:tcPr>
          <w:p>
            <w:pPr>
              <w:pStyle w:val="41"/>
              <w:spacing w:line="360" w:lineRule="auto"/>
              <w:ind w:left="357"/>
            </w:pPr>
            <w:r>
              <w:rPr>
                <w:rFonts w:hint="eastAsia"/>
              </w:rPr>
              <w:t>昌德</w:t>
            </w:r>
            <w:r>
              <w:rPr>
                <w:rFonts w:hint="eastAsia"/>
                <w:lang w:eastAsia="zh-CN"/>
              </w:rPr>
              <w:t>或其他标准品牌</w:t>
            </w:r>
          </w:p>
        </w:tc>
        <w:tc>
          <w:tcPr>
            <w:tcW w:w="4252" w:type="dxa"/>
            <w:tcBorders>
              <w:top w:val="nil"/>
              <w:left w:val="nil"/>
              <w:bottom w:val="single" w:color="auto" w:sz="4" w:space="0"/>
              <w:right w:val="single" w:color="auto" w:sz="4" w:space="0"/>
            </w:tcBorders>
            <w:vAlign w:val="center"/>
          </w:tcPr>
          <w:p>
            <w:pPr>
              <w:pStyle w:val="41"/>
              <w:spacing w:line="360" w:lineRule="auto"/>
              <w:ind w:left="357"/>
              <w:rPr>
                <w:szCs w:val="21"/>
                <w:lang w:val="en-GB" w:eastAsia="zh-CN"/>
              </w:rPr>
            </w:pPr>
            <w:r>
              <w:rPr>
                <w:rFonts w:hint="eastAsia"/>
                <w:szCs w:val="21"/>
                <w:lang w:val="en-GB" w:eastAsia="zh-CN"/>
              </w:rPr>
              <w:t>/</w:t>
            </w:r>
          </w:p>
        </w:tc>
      </w:tr>
      <w:tr>
        <w:tblPrEx>
          <w:tblCellMar>
            <w:top w:w="0" w:type="dxa"/>
            <w:left w:w="108" w:type="dxa"/>
            <w:bottom w:w="0" w:type="dxa"/>
            <w:right w:w="108" w:type="dxa"/>
          </w:tblCellMar>
        </w:tblPrEx>
        <w:trPr>
          <w:trHeight w:val="315" w:hRule="atLeast"/>
          <w:jc w:val="center"/>
        </w:trPr>
        <w:tc>
          <w:tcPr>
            <w:tcW w:w="2155" w:type="dxa"/>
            <w:tcBorders>
              <w:top w:val="nil"/>
              <w:left w:val="single" w:color="auto" w:sz="4" w:space="0"/>
              <w:bottom w:val="single" w:color="auto" w:sz="4" w:space="0"/>
              <w:right w:val="single" w:color="auto" w:sz="4" w:space="0"/>
            </w:tcBorders>
            <w:vAlign w:val="center"/>
          </w:tcPr>
          <w:p>
            <w:pPr>
              <w:pStyle w:val="41"/>
              <w:spacing w:line="360" w:lineRule="auto"/>
              <w:ind w:left="357"/>
              <w:jc w:val="left"/>
              <w:rPr>
                <w:szCs w:val="21"/>
              </w:rPr>
            </w:pPr>
            <w:r>
              <w:rPr>
                <w:rFonts w:hint="eastAsia"/>
              </w:rPr>
              <w:t>电动球阀</w:t>
            </w:r>
          </w:p>
        </w:tc>
        <w:tc>
          <w:tcPr>
            <w:tcW w:w="3794" w:type="dxa"/>
            <w:tcBorders>
              <w:top w:val="nil"/>
              <w:left w:val="nil"/>
              <w:bottom w:val="single" w:color="auto" w:sz="4" w:space="0"/>
              <w:right w:val="single" w:color="auto" w:sz="4" w:space="0"/>
            </w:tcBorders>
            <w:vAlign w:val="center"/>
          </w:tcPr>
          <w:p>
            <w:pPr>
              <w:pStyle w:val="41"/>
              <w:spacing w:line="360" w:lineRule="auto"/>
              <w:ind w:left="357"/>
              <w:rPr>
                <w:lang w:eastAsia="zh-CN"/>
              </w:rPr>
            </w:pPr>
            <w:r>
              <w:rPr>
                <w:rFonts w:hint="eastAsia"/>
                <w:lang w:eastAsia="zh-CN"/>
              </w:rPr>
              <w:t>希伯伦或其他标准品牌</w:t>
            </w:r>
          </w:p>
        </w:tc>
        <w:tc>
          <w:tcPr>
            <w:tcW w:w="4252" w:type="dxa"/>
            <w:tcBorders>
              <w:top w:val="nil"/>
              <w:left w:val="nil"/>
              <w:bottom w:val="single" w:color="auto" w:sz="4" w:space="0"/>
              <w:right w:val="single" w:color="auto" w:sz="4" w:space="0"/>
            </w:tcBorders>
            <w:vAlign w:val="center"/>
          </w:tcPr>
          <w:p>
            <w:pPr>
              <w:pStyle w:val="41"/>
              <w:spacing w:line="360" w:lineRule="auto"/>
              <w:ind w:left="357"/>
              <w:rPr>
                <w:szCs w:val="21"/>
                <w:lang w:val="en-GB" w:eastAsia="zh-CN"/>
              </w:rPr>
            </w:pPr>
            <w:r>
              <w:rPr>
                <w:rFonts w:hint="eastAsia"/>
                <w:szCs w:val="21"/>
                <w:lang w:val="en-GB" w:eastAsia="zh-CN"/>
              </w:rPr>
              <w:t>/</w:t>
            </w:r>
          </w:p>
        </w:tc>
      </w:tr>
      <w:tr>
        <w:tblPrEx>
          <w:tblCellMar>
            <w:top w:w="0" w:type="dxa"/>
            <w:left w:w="108" w:type="dxa"/>
            <w:bottom w:w="0" w:type="dxa"/>
            <w:right w:w="108" w:type="dxa"/>
          </w:tblCellMar>
        </w:tblPrEx>
        <w:trPr>
          <w:trHeight w:val="600" w:hRule="atLeast"/>
          <w:jc w:val="center"/>
        </w:trPr>
        <w:tc>
          <w:tcPr>
            <w:tcW w:w="2155" w:type="dxa"/>
            <w:tcBorders>
              <w:top w:val="nil"/>
              <w:left w:val="single" w:color="auto" w:sz="4" w:space="0"/>
              <w:bottom w:val="single" w:color="auto" w:sz="4" w:space="0"/>
              <w:right w:val="single" w:color="auto" w:sz="4" w:space="0"/>
            </w:tcBorders>
            <w:vAlign w:val="center"/>
          </w:tcPr>
          <w:p>
            <w:pPr>
              <w:pStyle w:val="41"/>
              <w:spacing w:line="360" w:lineRule="auto"/>
              <w:ind w:left="357"/>
              <w:jc w:val="left"/>
              <w:rPr>
                <w:szCs w:val="21"/>
                <w:lang w:val="en-GB" w:eastAsia="zh-CN"/>
              </w:rPr>
            </w:pPr>
            <w:r>
              <w:rPr>
                <w:rFonts w:hint="eastAsia"/>
              </w:rPr>
              <w:t>超温开关</w:t>
            </w:r>
          </w:p>
        </w:tc>
        <w:tc>
          <w:tcPr>
            <w:tcW w:w="3794" w:type="dxa"/>
            <w:tcBorders>
              <w:top w:val="nil"/>
              <w:left w:val="nil"/>
              <w:bottom w:val="single" w:color="auto" w:sz="4" w:space="0"/>
              <w:right w:val="single" w:color="auto" w:sz="4" w:space="0"/>
            </w:tcBorders>
            <w:vAlign w:val="center"/>
          </w:tcPr>
          <w:p>
            <w:pPr>
              <w:pStyle w:val="41"/>
              <w:spacing w:line="360" w:lineRule="auto"/>
              <w:ind w:left="357"/>
              <w:rPr>
                <w:szCs w:val="21"/>
                <w:lang w:val="en-GB" w:eastAsia="zh-CN"/>
              </w:rPr>
            </w:pPr>
            <w:r>
              <w:rPr>
                <w:rFonts w:hint="eastAsia"/>
              </w:rPr>
              <w:t>中欣</w:t>
            </w:r>
            <w:r>
              <w:rPr>
                <w:rFonts w:hint="eastAsia"/>
                <w:lang w:eastAsia="zh-CN"/>
              </w:rPr>
              <w:t>或其他标准品牌</w:t>
            </w:r>
          </w:p>
        </w:tc>
        <w:tc>
          <w:tcPr>
            <w:tcW w:w="4252" w:type="dxa"/>
            <w:tcBorders>
              <w:top w:val="nil"/>
              <w:left w:val="nil"/>
              <w:bottom w:val="single" w:color="auto" w:sz="4" w:space="0"/>
              <w:right w:val="single" w:color="auto" w:sz="4" w:space="0"/>
            </w:tcBorders>
            <w:vAlign w:val="center"/>
          </w:tcPr>
          <w:p>
            <w:pPr>
              <w:pStyle w:val="41"/>
              <w:spacing w:line="360" w:lineRule="auto"/>
              <w:ind w:left="357"/>
              <w:rPr>
                <w:szCs w:val="21"/>
                <w:lang w:val="en-GB" w:eastAsia="zh-CN"/>
              </w:rPr>
            </w:pPr>
            <w:r>
              <w:rPr>
                <w:rFonts w:hint="eastAsia"/>
                <w:szCs w:val="21"/>
                <w:lang w:val="en-GB" w:eastAsia="zh-CN"/>
              </w:rPr>
              <w:t>/</w:t>
            </w:r>
          </w:p>
        </w:tc>
      </w:tr>
    </w:tbl>
    <w:p>
      <w:pPr>
        <w:pStyle w:val="41"/>
        <w:spacing w:before="0" w:line="360" w:lineRule="auto"/>
        <w:ind w:left="425"/>
        <w:jc w:val="left"/>
        <w:rPr>
          <w:color w:val="4472C4"/>
          <w:szCs w:val="21"/>
          <w:lang w:eastAsia="zh-CN"/>
        </w:rPr>
      </w:pPr>
    </w:p>
    <w:permEnd w:id="49"/>
    <w:p>
      <w:pPr>
        <w:pStyle w:val="41"/>
        <w:spacing w:before="0" w:line="360" w:lineRule="auto"/>
        <w:ind w:left="357"/>
        <w:jc w:val="left"/>
        <w:rPr>
          <w:szCs w:val="21"/>
          <w:lang w:eastAsia="zh-CN"/>
        </w:rPr>
      </w:pPr>
    </w:p>
    <w:sectPr>
      <w:footerReference r:id="rId3" w:type="default"/>
      <w:pgSz w:w="11907" w:h="16840"/>
      <w:pgMar w:top="1134" w:right="567" w:bottom="1134" w:left="993" w:header="851" w:footer="992" w:gutter="0"/>
      <w:pgNumType w:start="1"/>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right" w:pos="9356"/>
        <w:tab w:val="clear" w:pos="8640"/>
      </w:tabs>
      <w:ind w:right="-285"/>
      <w:rPr>
        <w:sz w:val="18"/>
        <w:szCs w:val="18"/>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54B36"/>
    <w:multiLevelType w:val="singleLevel"/>
    <w:tmpl w:val="AD954B36"/>
    <w:lvl w:ilvl="0" w:tentative="0">
      <w:start w:val="1"/>
      <w:numFmt w:val="decimal"/>
      <w:lvlText w:val="(%1)"/>
      <w:lvlJc w:val="left"/>
      <w:pPr>
        <w:ind w:left="425" w:hanging="425"/>
      </w:pPr>
      <w:rPr>
        <w:rFonts w:hint="default"/>
      </w:rPr>
    </w:lvl>
  </w:abstractNum>
  <w:abstractNum w:abstractNumId="1">
    <w:nsid w:val="0892689A"/>
    <w:multiLevelType w:val="multilevel"/>
    <w:tmpl w:val="0892689A"/>
    <w:lvl w:ilvl="0" w:tentative="0">
      <w:start w:val="1"/>
      <w:numFmt w:val="decimal"/>
      <w:lvlText w:val="6.%1"/>
      <w:lvlJc w:val="left"/>
      <w:pPr>
        <w:ind w:left="10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8FC583D"/>
    <w:multiLevelType w:val="multilevel"/>
    <w:tmpl w:val="08FC583D"/>
    <w:lvl w:ilvl="0" w:tentative="0">
      <w:start w:val="1"/>
      <w:numFmt w:val="decimal"/>
      <w:pStyle w:val="2"/>
      <w:lvlText w:val="%1."/>
      <w:lvlJc w:val="left"/>
      <w:pPr>
        <w:tabs>
          <w:tab w:val="left" w:pos="425"/>
        </w:tabs>
        <w:ind w:left="425" w:hanging="425"/>
      </w:pPr>
      <w:rPr>
        <w:rFonts w:hint="default"/>
        <w:sz w:val="22"/>
      </w:rPr>
    </w:lvl>
    <w:lvl w:ilvl="1" w:tentative="0">
      <w:start w:val="1"/>
      <w:numFmt w:val="decimal"/>
      <w:lvlText w:val="%1.%2."/>
      <w:lvlJc w:val="left"/>
      <w:pPr>
        <w:tabs>
          <w:tab w:val="left" w:pos="567"/>
        </w:tabs>
        <w:ind w:left="567" w:hanging="567"/>
      </w:pPr>
      <w:rPr>
        <w:rFonts w:hint="default"/>
        <w:sz w:val="22"/>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3">
    <w:nsid w:val="0BB07E03"/>
    <w:multiLevelType w:val="multilevel"/>
    <w:tmpl w:val="0BB07E03"/>
    <w:lvl w:ilvl="0" w:tentative="0">
      <w:start w:val="1"/>
      <w:numFmt w:val="decimal"/>
      <w:lvlText w:val="9.%1"/>
      <w:lvlJc w:val="left"/>
      <w:pPr>
        <w:ind w:left="10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1273409"/>
    <w:multiLevelType w:val="multilevel"/>
    <w:tmpl w:val="11273409"/>
    <w:lvl w:ilvl="0" w:tentative="0">
      <w:start w:val="1"/>
      <w:numFmt w:val="decimal"/>
      <w:lvlText w:val="7.%1"/>
      <w:lvlJc w:val="left"/>
      <w:pPr>
        <w:ind w:left="10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6D341CC"/>
    <w:multiLevelType w:val="multilevel"/>
    <w:tmpl w:val="16D341CC"/>
    <w:lvl w:ilvl="0" w:tentative="0">
      <w:start w:val="1"/>
      <w:numFmt w:val="decimal"/>
      <w:lvlText w:val="URS %1"/>
      <w:lvlJc w:val="left"/>
      <w:pPr>
        <w:ind w:left="846" w:hanging="420"/>
      </w:pPr>
      <w:rPr>
        <w:rFonts w:hint="eastAsia"/>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6">
    <w:nsid w:val="1E85127E"/>
    <w:multiLevelType w:val="multilevel"/>
    <w:tmpl w:val="1E85127E"/>
    <w:lvl w:ilvl="0" w:tentative="0">
      <w:start w:val="1"/>
      <w:numFmt w:val="bullet"/>
      <w:lvlText w:val=""/>
      <w:lvlJc w:val="left"/>
      <w:pPr>
        <w:ind w:left="988" w:hanging="420"/>
      </w:pPr>
      <w:rPr>
        <w:rFonts w:hint="default" w:ascii="Wingdings" w:hAnsi="Wingdings"/>
        <w:color w:val="000000"/>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7">
    <w:nsid w:val="23693724"/>
    <w:multiLevelType w:val="multilevel"/>
    <w:tmpl w:val="23693724"/>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8">
    <w:nsid w:val="23F9377D"/>
    <w:multiLevelType w:val="multilevel"/>
    <w:tmpl w:val="23F9377D"/>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320B1F6D"/>
    <w:multiLevelType w:val="multilevel"/>
    <w:tmpl w:val="320B1F6D"/>
    <w:lvl w:ilvl="0" w:tentative="0">
      <w:start w:val="1"/>
      <w:numFmt w:val="decimal"/>
      <w:lvlText w:val="8.%1"/>
      <w:lvlJc w:val="left"/>
      <w:pPr>
        <w:ind w:left="777" w:hanging="420"/>
      </w:pPr>
      <w:rPr>
        <w:rFonts w:hint="eastAsia"/>
      </w:rPr>
    </w:lvl>
    <w:lvl w:ilvl="1" w:tentative="0">
      <w:start w:val="1"/>
      <w:numFmt w:val="lowerLetter"/>
      <w:lvlText w:val="%2)"/>
      <w:lvlJc w:val="left"/>
      <w:pPr>
        <w:ind w:left="840" w:hanging="420"/>
      </w:pPr>
    </w:lvl>
    <w:lvl w:ilvl="2" w:tentative="0">
      <w:start w:val="1"/>
      <w:numFmt w:val="decimal"/>
      <w:lvlText w:val="8.%3"/>
      <w:lvlJc w:val="righ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468E4AF"/>
    <w:multiLevelType w:val="singleLevel"/>
    <w:tmpl w:val="3468E4AF"/>
    <w:lvl w:ilvl="0" w:tentative="0">
      <w:start w:val="1"/>
      <w:numFmt w:val="decimal"/>
      <w:suff w:val="space"/>
      <w:lvlText w:val="(%1)"/>
      <w:lvlJc w:val="left"/>
    </w:lvl>
  </w:abstractNum>
  <w:abstractNum w:abstractNumId="11">
    <w:nsid w:val="4D5A4B47"/>
    <w:multiLevelType w:val="multilevel"/>
    <w:tmpl w:val="4D5A4B47"/>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549A640C"/>
    <w:multiLevelType w:val="multilevel"/>
    <w:tmpl w:val="549A640C"/>
    <w:lvl w:ilvl="0" w:tentative="0">
      <w:start w:val="1"/>
      <w:numFmt w:val="decimal"/>
      <w:lvlText w:val="12.%1"/>
      <w:lvlJc w:val="left"/>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29402F4"/>
    <w:multiLevelType w:val="multilevel"/>
    <w:tmpl w:val="629402F4"/>
    <w:lvl w:ilvl="0" w:tentative="0">
      <w:start w:val="1"/>
      <w:numFmt w:val="decimal"/>
      <w:lvlText w:val="3.%1"/>
      <w:lvlJc w:val="left"/>
      <w:pPr>
        <w:ind w:left="777"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86546ED"/>
    <w:multiLevelType w:val="multilevel"/>
    <w:tmpl w:val="686546ED"/>
    <w:lvl w:ilvl="0" w:tentative="0">
      <w:start w:val="1"/>
      <w:numFmt w:val="decimal"/>
      <w:pStyle w:val="37"/>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756B5FAF"/>
    <w:multiLevelType w:val="multilevel"/>
    <w:tmpl w:val="756B5FAF"/>
    <w:lvl w:ilvl="0" w:tentative="0">
      <w:start w:val="1"/>
      <w:numFmt w:val="decimal"/>
      <w:lvlText w:val="(%1)"/>
      <w:lvlJc w:val="left"/>
      <w:pPr>
        <w:ind w:left="420" w:hanging="420"/>
      </w:pPr>
      <w:rPr>
        <w:rFonts w:hint="eastAsia" w:cs="Times New Roman"/>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14"/>
  </w:num>
  <w:num w:numId="3">
    <w:abstractNumId w:val="7"/>
  </w:num>
  <w:num w:numId="4">
    <w:abstractNumId w:val="13"/>
  </w:num>
  <w:num w:numId="5">
    <w:abstractNumId w:val="6"/>
  </w:num>
  <w:num w:numId="6">
    <w:abstractNumId w:val="1"/>
  </w:num>
  <w:num w:numId="7">
    <w:abstractNumId w:val="5"/>
  </w:num>
  <w:num w:numId="8">
    <w:abstractNumId w:val="4"/>
  </w:num>
  <w:num w:numId="9">
    <w:abstractNumId w:val="11"/>
  </w:num>
  <w:num w:numId="10">
    <w:abstractNumId w:val="8"/>
  </w:num>
  <w:num w:numId="11">
    <w:abstractNumId w:val="10"/>
  </w:num>
  <w:num w:numId="12">
    <w:abstractNumId w:val="15"/>
  </w:num>
  <w:num w:numId="13">
    <w:abstractNumId w:val="9"/>
  </w:num>
  <w:num w:numId="14">
    <w:abstractNumId w:val="3"/>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documentProtection w:edit="readOnly" w:enforcement="0"/>
  <w:defaultTabStop w:val="720"/>
  <w:drawingGridHorizontalSpacing w:val="120"/>
  <w:drawingGridVerticalSpacing w:val="158"/>
  <w:displayHorizontalDrawingGridEvery w:val="0"/>
  <w:displayVerticalDrawingGridEvery w:val="0"/>
  <w:characterSpacingControl w:val="doNotCompress"/>
  <w:compat>
    <w:useFELayout/>
    <w:compatSetting w:name="compatibilityMode" w:uri="http://schemas.microsoft.com/office/word" w:val="12"/>
  </w:compat>
  <w:rsids>
    <w:rsidRoot w:val="00391016"/>
    <w:rsid w:val="00001AE0"/>
    <w:rsid w:val="000021A6"/>
    <w:rsid w:val="00002F06"/>
    <w:rsid w:val="000038A4"/>
    <w:rsid w:val="0000520B"/>
    <w:rsid w:val="000059AD"/>
    <w:rsid w:val="00005CB9"/>
    <w:rsid w:val="00005E76"/>
    <w:rsid w:val="00006273"/>
    <w:rsid w:val="00006FD5"/>
    <w:rsid w:val="0001160E"/>
    <w:rsid w:val="000117C7"/>
    <w:rsid w:val="000169DD"/>
    <w:rsid w:val="00020FEA"/>
    <w:rsid w:val="00022818"/>
    <w:rsid w:val="000233DE"/>
    <w:rsid w:val="00023B07"/>
    <w:rsid w:val="00023CAD"/>
    <w:rsid w:val="0002457E"/>
    <w:rsid w:val="000275E7"/>
    <w:rsid w:val="000303D0"/>
    <w:rsid w:val="00031243"/>
    <w:rsid w:val="00031900"/>
    <w:rsid w:val="000355F3"/>
    <w:rsid w:val="00037987"/>
    <w:rsid w:val="00037F15"/>
    <w:rsid w:val="00037F55"/>
    <w:rsid w:val="000404F1"/>
    <w:rsid w:val="00041104"/>
    <w:rsid w:val="00041A2A"/>
    <w:rsid w:val="00041D89"/>
    <w:rsid w:val="00044DFD"/>
    <w:rsid w:val="000467C2"/>
    <w:rsid w:val="00046B5E"/>
    <w:rsid w:val="00047038"/>
    <w:rsid w:val="00047BA8"/>
    <w:rsid w:val="00047CAF"/>
    <w:rsid w:val="00053A4C"/>
    <w:rsid w:val="00054BB1"/>
    <w:rsid w:val="00055ED6"/>
    <w:rsid w:val="00056478"/>
    <w:rsid w:val="00056AE2"/>
    <w:rsid w:val="00056E9E"/>
    <w:rsid w:val="00057046"/>
    <w:rsid w:val="000576C2"/>
    <w:rsid w:val="00063572"/>
    <w:rsid w:val="00063B90"/>
    <w:rsid w:val="00064A43"/>
    <w:rsid w:val="000662D2"/>
    <w:rsid w:val="00071DD4"/>
    <w:rsid w:val="00072340"/>
    <w:rsid w:val="00072945"/>
    <w:rsid w:val="00073B81"/>
    <w:rsid w:val="0007673E"/>
    <w:rsid w:val="00077AE1"/>
    <w:rsid w:val="000818AC"/>
    <w:rsid w:val="00082C13"/>
    <w:rsid w:val="00083D58"/>
    <w:rsid w:val="000844A8"/>
    <w:rsid w:val="00084F90"/>
    <w:rsid w:val="00086CA0"/>
    <w:rsid w:val="00087002"/>
    <w:rsid w:val="00092C03"/>
    <w:rsid w:val="00096510"/>
    <w:rsid w:val="00097A7D"/>
    <w:rsid w:val="00097CA2"/>
    <w:rsid w:val="000A1D9E"/>
    <w:rsid w:val="000A2664"/>
    <w:rsid w:val="000A2C3C"/>
    <w:rsid w:val="000A3099"/>
    <w:rsid w:val="000A41DA"/>
    <w:rsid w:val="000A55CC"/>
    <w:rsid w:val="000A5CEE"/>
    <w:rsid w:val="000A6423"/>
    <w:rsid w:val="000A6661"/>
    <w:rsid w:val="000B02ED"/>
    <w:rsid w:val="000B02FD"/>
    <w:rsid w:val="000B068C"/>
    <w:rsid w:val="000B4157"/>
    <w:rsid w:val="000B417D"/>
    <w:rsid w:val="000B45E0"/>
    <w:rsid w:val="000B4EC4"/>
    <w:rsid w:val="000B5888"/>
    <w:rsid w:val="000C0A41"/>
    <w:rsid w:val="000C0DD3"/>
    <w:rsid w:val="000C0FA5"/>
    <w:rsid w:val="000C3C81"/>
    <w:rsid w:val="000C41B6"/>
    <w:rsid w:val="000C7137"/>
    <w:rsid w:val="000D112B"/>
    <w:rsid w:val="000D1A79"/>
    <w:rsid w:val="000D3B24"/>
    <w:rsid w:val="000D43C9"/>
    <w:rsid w:val="000D517D"/>
    <w:rsid w:val="000D5BCC"/>
    <w:rsid w:val="000D6D1E"/>
    <w:rsid w:val="000D6FF9"/>
    <w:rsid w:val="000D7C49"/>
    <w:rsid w:val="000E0DDB"/>
    <w:rsid w:val="000E17B5"/>
    <w:rsid w:val="000E41B5"/>
    <w:rsid w:val="000E51FF"/>
    <w:rsid w:val="000E5684"/>
    <w:rsid w:val="000E5B57"/>
    <w:rsid w:val="000E6868"/>
    <w:rsid w:val="000F0D08"/>
    <w:rsid w:val="000F2CD3"/>
    <w:rsid w:val="000F36B9"/>
    <w:rsid w:val="000F3A00"/>
    <w:rsid w:val="000F4E03"/>
    <w:rsid w:val="000F606A"/>
    <w:rsid w:val="000F706D"/>
    <w:rsid w:val="00100F65"/>
    <w:rsid w:val="0010110F"/>
    <w:rsid w:val="00102DC9"/>
    <w:rsid w:val="001031DF"/>
    <w:rsid w:val="00103F05"/>
    <w:rsid w:val="00104160"/>
    <w:rsid w:val="0010503D"/>
    <w:rsid w:val="00106571"/>
    <w:rsid w:val="00106B5D"/>
    <w:rsid w:val="00110CF0"/>
    <w:rsid w:val="001120B7"/>
    <w:rsid w:val="0011231F"/>
    <w:rsid w:val="00112670"/>
    <w:rsid w:val="00112952"/>
    <w:rsid w:val="00112DD4"/>
    <w:rsid w:val="00112F30"/>
    <w:rsid w:val="00114353"/>
    <w:rsid w:val="001144F0"/>
    <w:rsid w:val="00115728"/>
    <w:rsid w:val="001163FC"/>
    <w:rsid w:val="00116F39"/>
    <w:rsid w:val="00117A01"/>
    <w:rsid w:val="00121B6E"/>
    <w:rsid w:val="00122051"/>
    <w:rsid w:val="00124244"/>
    <w:rsid w:val="00124803"/>
    <w:rsid w:val="00124E69"/>
    <w:rsid w:val="00125CC1"/>
    <w:rsid w:val="001273B0"/>
    <w:rsid w:val="00127CB8"/>
    <w:rsid w:val="001313C3"/>
    <w:rsid w:val="00132F4C"/>
    <w:rsid w:val="00134C68"/>
    <w:rsid w:val="00135FD6"/>
    <w:rsid w:val="001374CF"/>
    <w:rsid w:val="00143952"/>
    <w:rsid w:val="001442AB"/>
    <w:rsid w:val="0014477D"/>
    <w:rsid w:val="00144D00"/>
    <w:rsid w:val="00145034"/>
    <w:rsid w:val="00145DC7"/>
    <w:rsid w:val="00145F74"/>
    <w:rsid w:val="00146568"/>
    <w:rsid w:val="00147A8A"/>
    <w:rsid w:val="00150BCC"/>
    <w:rsid w:val="001541A9"/>
    <w:rsid w:val="00154756"/>
    <w:rsid w:val="001549D1"/>
    <w:rsid w:val="00154CD3"/>
    <w:rsid w:val="001560AD"/>
    <w:rsid w:val="0015633E"/>
    <w:rsid w:val="0015752C"/>
    <w:rsid w:val="0016077F"/>
    <w:rsid w:val="00161486"/>
    <w:rsid w:val="0016194A"/>
    <w:rsid w:val="00161F7F"/>
    <w:rsid w:val="00162A78"/>
    <w:rsid w:val="00163A08"/>
    <w:rsid w:val="00164CDC"/>
    <w:rsid w:val="00164E0D"/>
    <w:rsid w:val="00166311"/>
    <w:rsid w:val="00166478"/>
    <w:rsid w:val="00167B0E"/>
    <w:rsid w:val="00171A51"/>
    <w:rsid w:val="001746E7"/>
    <w:rsid w:val="001757AB"/>
    <w:rsid w:val="001769A8"/>
    <w:rsid w:val="001814FA"/>
    <w:rsid w:val="001815A9"/>
    <w:rsid w:val="00182A27"/>
    <w:rsid w:val="00184DDD"/>
    <w:rsid w:val="00184FFD"/>
    <w:rsid w:val="00185449"/>
    <w:rsid w:val="00186314"/>
    <w:rsid w:val="00187B04"/>
    <w:rsid w:val="00190000"/>
    <w:rsid w:val="001929C2"/>
    <w:rsid w:val="00192B8F"/>
    <w:rsid w:val="00193D66"/>
    <w:rsid w:val="00194BB7"/>
    <w:rsid w:val="00197391"/>
    <w:rsid w:val="001A1DE7"/>
    <w:rsid w:val="001A3BB0"/>
    <w:rsid w:val="001A4947"/>
    <w:rsid w:val="001A64C0"/>
    <w:rsid w:val="001A685F"/>
    <w:rsid w:val="001A7EB6"/>
    <w:rsid w:val="001A7FE4"/>
    <w:rsid w:val="001B0278"/>
    <w:rsid w:val="001B28C8"/>
    <w:rsid w:val="001B4654"/>
    <w:rsid w:val="001C017B"/>
    <w:rsid w:val="001C239E"/>
    <w:rsid w:val="001C2D7E"/>
    <w:rsid w:val="001D1FA0"/>
    <w:rsid w:val="001D32D4"/>
    <w:rsid w:val="001D3C96"/>
    <w:rsid w:val="001D4383"/>
    <w:rsid w:val="001D4742"/>
    <w:rsid w:val="001D474B"/>
    <w:rsid w:val="001D48B0"/>
    <w:rsid w:val="001D5549"/>
    <w:rsid w:val="001E0376"/>
    <w:rsid w:val="001E13E0"/>
    <w:rsid w:val="001E2B2B"/>
    <w:rsid w:val="001E353E"/>
    <w:rsid w:val="001E3CBE"/>
    <w:rsid w:val="001E5657"/>
    <w:rsid w:val="001E5F94"/>
    <w:rsid w:val="001E744F"/>
    <w:rsid w:val="001F065A"/>
    <w:rsid w:val="001F1FE7"/>
    <w:rsid w:val="001F25DD"/>
    <w:rsid w:val="001F3552"/>
    <w:rsid w:val="001F473D"/>
    <w:rsid w:val="001F4BFD"/>
    <w:rsid w:val="001F7405"/>
    <w:rsid w:val="001F7E95"/>
    <w:rsid w:val="00201487"/>
    <w:rsid w:val="00203D68"/>
    <w:rsid w:val="0020539A"/>
    <w:rsid w:val="00205E00"/>
    <w:rsid w:val="00206107"/>
    <w:rsid w:val="002070B2"/>
    <w:rsid w:val="0020756B"/>
    <w:rsid w:val="00210177"/>
    <w:rsid w:val="00212297"/>
    <w:rsid w:val="002129BC"/>
    <w:rsid w:val="00212BD9"/>
    <w:rsid w:val="00213AA9"/>
    <w:rsid w:val="002152B6"/>
    <w:rsid w:val="002168FE"/>
    <w:rsid w:val="00217048"/>
    <w:rsid w:val="002178C5"/>
    <w:rsid w:val="00220757"/>
    <w:rsid w:val="00222993"/>
    <w:rsid w:val="00223661"/>
    <w:rsid w:val="00224129"/>
    <w:rsid w:val="00225DD2"/>
    <w:rsid w:val="002279A2"/>
    <w:rsid w:val="00227A0D"/>
    <w:rsid w:val="002320D9"/>
    <w:rsid w:val="002344B4"/>
    <w:rsid w:val="00234C07"/>
    <w:rsid w:val="002355FF"/>
    <w:rsid w:val="002367A6"/>
    <w:rsid w:val="00236BE9"/>
    <w:rsid w:val="00237E6C"/>
    <w:rsid w:val="00240A09"/>
    <w:rsid w:val="00240B1E"/>
    <w:rsid w:val="00241437"/>
    <w:rsid w:val="00245088"/>
    <w:rsid w:val="00253242"/>
    <w:rsid w:val="002547BF"/>
    <w:rsid w:val="002548CA"/>
    <w:rsid w:val="0025531B"/>
    <w:rsid w:val="002560F9"/>
    <w:rsid w:val="00257517"/>
    <w:rsid w:val="00257FA9"/>
    <w:rsid w:val="00261CD0"/>
    <w:rsid w:val="00261F30"/>
    <w:rsid w:val="002637FB"/>
    <w:rsid w:val="00263CB5"/>
    <w:rsid w:val="0026571F"/>
    <w:rsid w:val="0027137F"/>
    <w:rsid w:val="002723D2"/>
    <w:rsid w:val="002732E5"/>
    <w:rsid w:val="002745D9"/>
    <w:rsid w:val="00274823"/>
    <w:rsid w:val="0027577D"/>
    <w:rsid w:val="00275F43"/>
    <w:rsid w:val="002810E3"/>
    <w:rsid w:val="00282EAA"/>
    <w:rsid w:val="0028384D"/>
    <w:rsid w:val="0028525D"/>
    <w:rsid w:val="002860DB"/>
    <w:rsid w:val="00286CE5"/>
    <w:rsid w:val="0029023F"/>
    <w:rsid w:val="002913B7"/>
    <w:rsid w:val="00291541"/>
    <w:rsid w:val="00291C5E"/>
    <w:rsid w:val="002924C2"/>
    <w:rsid w:val="00293E83"/>
    <w:rsid w:val="0029582F"/>
    <w:rsid w:val="0029741F"/>
    <w:rsid w:val="00297DDC"/>
    <w:rsid w:val="002A18C8"/>
    <w:rsid w:val="002A42F8"/>
    <w:rsid w:val="002A547B"/>
    <w:rsid w:val="002A588E"/>
    <w:rsid w:val="002A7980"/>
    <w:rsid w:val="002B0A7C"/>
    <w:rsid w:val="002B14F3"/>
    <w:rsid w:val="002B480A"/>
    <w:rsid w:val="002B67A2"/>
    <w:rsid w:val="002B6854"/>
    <w:rsid w:val="002C1817"/>
    <w:rsid w:val="002C1DAB"/>
    <w:rsid w:val="002C21B4"/>
    <w:rsid w:val="002C4FCF"/>
    <w:rsid w:val="002C527C"/>
    <w:rsid w:val="002D0253"/>
    <w:rsid w:val="002D03CD"/>
    <w:rsid w:val="002D2477"/>
    <w:rsid w:val="002D2AAB"/>
    <w:rsid w:val="002D691F"/>
    <w:rsid w:val="002D6A50"/>
    <w:rsid w:val="002D6D1C"/>
    <w:rsid w:val="002E1D21"/>
    <w:rsid w:val="002E3B36"/>
    <w:rsid w:val="002E59BF"/>
    <w:rsid w:val="002E63F6"/>
    <w:rsid w:val="002E69A1"/>
    <w:rsid w:val="002F1C5E"/>
    <w:rsid w:val="002F1D63"/>
    <w:rsid w:val="002F340E"/>
    <w:rsid w:val="002F4392"/>
    <w:rsid w:val="002F4641"/>
    <w:rsid w:val="002F4B22"/>
    <w:rsid w:val="00302176"/>
    <w:rsid w:val="00302AF8"/>
    <w:rsid w:val="00304F96"/>
    <w:rsid w:val="00306131"/>
    <w:rsid w:val="00311B2C"/>
    <w:rsid w:val="00311EE4"/>
    <w:rsid w:val="0031318B"/>
    <w:rsid w:val="003137B7"/>
    <w:rsid w:val="003148D1"/>
    <w:rsid w:val="00314CFF"/>
    <w:rsid w:val="00315038"/>
    <w:rsid w:val="00315C3E"/>
    <w:rsid w:val="00316EEF"/>
    <w:rsid w:val="003172B7"/>
    <w:rsid w:val="00321298"/>
    <w:rsid w:val="00321D97"/>
    <w:rsid w:val="00323423"/>
    <w:rsid w:val="003240E5"/>
    <w:rsid w:val="00324B23"/>
    <w:rsid w:val="003257E0"/>
    <w:rsid w:val="00325DC5"/>
    <w:rsid w:val="00325FFA"/>
    <w:rsid w:val="00330D16"/>
    <w:rsid w:val="00330FFF"/>
    <w:rsid w:val="00332565"/>
    <w:rsid w:val="00333C91"/>
    <w:rsid w:val="0033695C"/>
    <w:rsid w:val="00341B2F"/>
    <w:rsid w:val="00342915"/>
    <w:rsid w:val="00344B04"/>
    <w:rsid w:val="00345847"/>
    <w:rsid w:val="00347576"/>
    <w:rsid w:val="00347772"/>
    <w:rsid w:val="00347A51"/>
    <w:rsid w:val="00347B19"/>
    <w:rsid w:val="003531FA"/>
    <w:rsid w:val="0035416F"/>
    <w:rsid w:val="003549FE"/>
    <w:rsid w:val="00355AAC"/>
    <w:rsid w:val="00355D7D"/>
    <w:rsid w:val="003647CA"/>
    <w:rsid w:val="00367A92"/>
    <w:rsid w:val="00370514"/>
    <w:rsid w:val="0037056A"/>
    <w:rsid w:val="003726DF"/>
    <w:rsid w:val="0037285A"/>
    <w:rsid w:val="0037345A"/>
    <w:rsid w:val="00373FFA"/>
    <w:rsid w:val="0037455F"/>
    <w:rsid w:val="00376C31"/>
    <w:rsid w:val="00377B15"/>
    <w:rsid w:val="00380EB7"/>
    <w:rsid w:val="003810F5"/>
    <w:rsid w:val="00381C39"/>
    <w:rsid w:val="00381CF6"/>
    <w:rsid w:val="0038326A"/>
    <w:rsid w:val="0038367F"/>
    <w:rsid w:val="00387B81"/>
    <w:rsid w:val="00391016"/>
    <w:rsid w:val="00393529"/>
    <w:rsid w:val="00393B6A"/>
    <w:rsid w:val="003946C3"/>
    <w:rsid w:val="00395CE1"/>
    <w:rsid w:val="00395D47"/>
    <w:rsid w:val="00396425"/>
    <w:rsid w:val="003970BE"/>
    <w:rsid w:val="00397C18"/>
    <w:rsid w:val="003A04A8"/>
    <w:rsid w:val="003A1311"/>
    <w:rsid w:val="003A2EC5"/>
    <w:rsid w:val="003A3AAC"/>
    <w:rsid w:val="003A4CAE"/>
    <w:rsid w:val="003A6DFE"/>
    <w:rsid w:val="003A6FCD"/>
    <w:rsid w:val="003B096A"/>
    <w:rsid w:val="003B0B6A"/>
    <w:rsid w:val="003B1FF2"/>
    <w:rsid w:val="003B2104"/>
    <w:rsid w:val="003B354C"/>
    <w:rsid w:val="003B355B"/>
    <w:rsid w:val="003B4A27"/>
    <w:rsid w:val="003B4A5D"/>
    <w:rsid w:val="003B5047"/>
    <w:rsid w:val="003B6E29"/>
    <w:rsid w:val="003B73AB"/>
    <w:rsid w:val="003C02C6"/>
    <w:rsid w:val="003C03D7"/>
    <w:rsid w:val="003C0712"/>
    <w:rsid w:val="003C558E"/>
    <w:rsid w:val="003C6ECF"/>
    <w:rsid w:val="003C73BC"/>
    <w:rsid w:val="003D2243"/>
    <w:rsid w:val="003D3C09"/>
    <w:rsid w:val="003D464A"/>
    <w:rsid w:val="003D4EFF"/>
    <w:rsid w:val="003D5F4A"/>
    <w:rsid w:val="003D662C"/>
    <w:rsid w:val="003D77E5"/>
    <w:rsid w:val="003E49F8"/>
    <w:rsid w:val="003E5109"/>
    <w:rsid w:val="003E60EE"/>
    <w:rsid w:val="003E6B48"/>
    <w:rsid w:val="003E748F"/>
    <w:rsid w:val="003F3F47"/>
    <w:rsid w:val="003F6E0C"/>
    <w:rsid w:val="004003A8"/>
    <w:rsid w:val="0040240E"/>
    <w:rsid w:val="00402756"/>
    <w:rsid w:val="00405B3A"/>
    <w:rsid w:val="004074DC"/>
    <w:rsid w:val="004111CC"/>
    <w:rsid w:val="004122A3"/>
    <w:rsid w:val="00416E8B"/>
    <w:rsid w:val="00420273"/>
    <w:rsid w:val="00420AA0"/>
    <w:rsid w:val="0042116C"/>
    <w:rsid w:val="00422D19"/>
    <w:rsid w:val="00422DFE"/>
    <w:rsid w:val="00424D83"/>
    <w:rsid w:val="00424E29"/>
    <w:rsid w:val="00427D22"/>
    <w:rsid w:val="00427E2D"/>
    <w:rsid w:val="00432568"/>
    <w:rsid w:val="00436C7C"/>
    <w:rsid w:val="00437440"/>
    <w:rsid w:val="00440378"/>
    <w:rsid w:val="0044167D"/>
    <w:rsid w:val="00442B53"/>
    <w:rsid w:val="00443256"/>
    <w:rsid w:val="00444D2D"/>
    <w:rsid w:val="004510B1"/>
    <w:rsid w:val="00451C5D"/>
    <w:rsid w:val="00451D74"/>
    <w:rsid w:val="00452E73"/>
    <w:rsid w:val="004565EF"/>
    <w:rsid w:val="00457FF9"/>
    <w:rsid w:val="004601ED"/>
    <w:rsid w:val="00460711"/>
    <w:rsid w:val="0046108B"/>
    <w:rsid w:val="00467AE6"/>
    <w:rsid w:val="00467EC9"/>
    <w:rsid w:val="00477791"/>
    <w:rsid w:val="00480286"/>
    <w:rsid w:val="00480C3B"/>
    <w:rsid w:val="00480FE3"/>
    <w:rsid w:val="00481C94"/>
    <w:rsid w:val="00484A8D"/>
    <w:rsid w:val="004856D0"/>
    <w:rsid w:val="00486A4E"/>
    <w:rsid w:val="00486B09"/>
    <w:rsid w:val="0049139F"/>
    <w:rsid w:val="00494F07"/>
    <w:rsid w:val="00496116"/>
    <w:rsid w:val="004965A0"/>
    <w:rsid w:val="00497335"/>
    <w:rsid w:val="004A05A7"/>
    <w:rsid w:val="004A3F98"/>
    <w:rsid w:val="004A5532"/>
    <w:rsid w:val="004A5958"/>
    <w:rsid w:val="004A76DF"/>
    <w:rsid w:val="004B0A75"/>
    <w:rsid w:val="004B2190"/>
    <w:rsid w:val="004B69B2"/>
    <w:rsid w:val="004B7507"/>
    <w:rsid w:val="004B7DC4"/>
    <w:rsid w:val="004B7F85"/>
    <w:rsid w:val="004C099B"/>
    <w:rsid w:val="004C42AE"/>
    <w:rsid w:val="004C49B0"/>
    <w:rsid w:val="004C4F53"/>
    <w:rsid w:val="004C4F7F"/>
    <w:rsid w:val="004C592E"/>
    <w:rsid w:val="004D050F"/>
    <w:rsid w:val="004D0E3A"/>
    <w:rsid w:val="004D1A73"/>
    <w:rsid w:val="004D48C2"/>
    <w:rsid w:val="004D67B1"/>
    <w:rsid w:val="004D7128"/>
    <w:rsid w:val="004D751D"/>
    <w:rsid w:val="004E05C2"/>
    <w:rsid w:val="004E0B02"/>
    <w:rsid w:val="004E0C0D"/>
    <w:rsid w:val="004E112A"/>
    <w:rsid w:val="004E241F"/>
    <w:rsid w:val="004E255F"/>
    <w:rsid w:val="004E4C2D"/>
    <w:rsid w:val="004F0539"/>
    <w:rsid w:val="004F10A4"/>
    <w:rsid w:val="004F342E"/>
    <w:rsid w:val="004F4C63"/>
    <w:rsid w:val="004F5AE6"/>
    <w:rsid w:val="004F5C19"/>
    <w:rsid w:val="004F5F9E"/>
    <w:rsid w:val="004F7B6A"/>
    <w:rsid w:val="0050090F"/>
    <w:rsid w:val="0050208D"/>
    <w:rsid w:val="0050284B"/>
    <w:rsid w:val="00502F99"/>
    <w:rsid w:val="00504B71"/>
    <w:rsid w:val="00507991"/>
    <w:rsid w:val="00507C94"/>
    <w:rsid w:val="00507EB2"/>
    <w:rsid w:val="00510111"/>
    <w:rsid w:val="00511AB4"/>
    <w:rsid w:val="00512690"/>
    <w:rsid w:val="00512A4E"/>
    <w:rsid w:val="00514EA4"/>
    <w:rsid w:val="00516BB4"/>
    <w:rsid w:val="00517A5D"/>
    <w:rsid w:val="00517E1E"/>
    <w:rsid w:val="005217E8"/>
    <w:rsid w:val="005220FE"/>
    <w:rsid w:val="0052470F"/>
    <w:rsid w:val="005247DE"/>
    <w:rsid w:val="00530B8F"/>
    <w:rsid w:val="00531434"/>
    <w:rsid w:val="00531754"/>
    <w:rsid w:val="00534840"/>
    <w:rsid w:val="00534D08"/>
    <w:rsid w:val="00536973"/>
    <w:rsid w:val="00536C6B"/>
    <w:rsid w:val="00544652"/>
    <w:rsid w:val="0054625B"/>
    <w:rsid w:val="00551539"/>
    <w:rsid w:val="00552EFE"/>
    <w:rsid w:val="00554ABB"/>
    <w:rsid w:val="0055552D"/>
    <w:rsid w:val="00555668"/>
    <w:rsid w:val="0055679E"/>
    <w:rsid w:val="0056090D"/>
    <w:rsid w:val="00561E9C"/>
    <w:rsid w:val="00565C7A"/>
    <w:rsid w:val="00567E14"/>
    <w:rsid w:val="005705A7"/>
    <w:rsid w:val="0057277E"/>
    <w:rsid w:val="00572F0E"/>
    <w:rsid w:val="00574D60"/>
    <w:rsid w:val="00575318"/>
    <w:rsid w:val="00577142"/>
    <w:rsid w:val="005773E5"/>
    <w:rsid w:val="00581AD5"/>
    <w:rsid w:val="00581C4E"/>
    <w:rsid w:val="00582DB0"/>
    <w:rsid w:val="00584B8E"/>
    <w:rsid w:val="00586EFD"/>
    <w:rsid w:val="00587AC1"/>
    <w:rsid w:val="00587DE8"/>
    <w:rsid w:val="00590694"/>
    <w:rsid w:val="00590AA6"/>
    <w:rsid w:val="00591A70"/>
    <w:rsid w:val="00592624"/>
    <w:rsid w:val="00593AF8"/>
    <w:rsid w:val="00593EC9"/>
    <w:rsid w:val="005964B1"/>
    <w:rsid w:val="005965FD"/>
    <w:rsid w:val="00597FCC"/>
    <w:rsid w:val="005A132A"/>
    <w:rsid w:val="005A337C"/>
    <w:rsid w:val="005A34B0"/>
    <w:rsid w:val="005A3ECF"/>
    <w:rsid w:val="005A6821"/>
    <w:rsid w:val="005B2393"/>
    <w:rsid w:val="005B6210"/>
    <w:rsid w:val="005B750A"/>
    <w:rsid w:val="005C2B89"/>
    <w:rsid w:val="005C2FA7"/>
    <w:rsid w:val="005C386F"/>
    <w:rsid w:val="005C42AC"/>
    <w:rsid w:val="005C4D05"/>
    <w:rsid w:val="005C506B"/>
    <w:rsid w:val="005C71BF"/>
    <w:rsid w:val="005C723D"/>
    <w:rsid w:val="005C7601"/>
    <w:rsid w:val="005D1094"/>
    <w:rsid w:val="005D3394"/>
    <w:rsid w:val="005D3989"/>
    <w:rsid w:val="005D4044"/>
    <w:rsid w:val="005D42FF"/>
    <w:rsid w:val="005E2725"/>
    <w:rsid w:val="005E65FA"/>
    <w:rsid w:val="005F19CE"/>
    <w:rsid w:val="005F28F4"/>
    <w:rsid w:val="005F43BB"/>
    <w:rsid w:val="005F503E"/>
    <w:rsid w:val="005F6CB3"/>
    <w:rsid w:val="005F7612"/>
    <w:rsid w:val="005F7663"/>
    <w:rsid w:val="005F7D63"/>
    <w:rsid w:val="00603673"/>
    <w:rsid w:val="00607170"/>
    <w:rsid w:val="00607408"/>
    <w:rsid w:val="00610AEE"/>
    <w:rsid w:val="006142AD"/>
    <w:rsid w:val="00616BAC"/>
    <w:rsid w:val="006203B8"/>
    <w:rsid w:val="00620598"/>
    <w:rsid w:val="00620FEC"/>
    <w:rsid w:val="006214DC"/>
    <w:rsid w:val="006215E2"/>
    <w:rsid w:val="0062168F"/>
    <w:rsid w:val="006221A2"/>
    <w:rsid w:val="00627113"/>
    <w:rsid w:val="00627B8B"/>
    <w:rsid w:val="0063106D"/>
    <w:rsid w:val="006312FF"/>
    <w:rsid w:val="00632136"/>
    <w:rsid w:val="00632C67"/>
    <w:rsid w:val="006331B6"/>
    <w:rsid w:val="00633310"/>
    <w:rsid w:val="00633315"/>
    <w:rsid w:val="006366CC"/>
    <w:rsid w:val="00637C16"/>
    <w:rsid w:val="0064048E"/>
    <w:rsid w:val="00641320"/>
    <w:rsid w:val="00641E74"/>
    <w:rsid w:val="006434E3"/>
    <w:rsid w:val="0064366A"/>
    <w:rsid w:val="00646987"/>
    <w:rsid w:val="006506CF"/>
    <w:rsid w:val="00650A76"/>
    <w:rsid w:val="00650CD0"/>
    <w:rsid w:val="00650DA4"/>
    <w:rsid w:val="00651DA5"/>
    <w:rsid w:val="00652D22"/>
    <w:rsid w:val="00656797"/>
    <w:rsid w:val="006571EC"/>
    <w:rsid w:val="0066086B"/>
    <w:rsid w:val="00660A8C"/>
    <w:rsid w:val="006632B2"/>
    <w:rsid w:val="00664084"/>
    <w:rsid w:val="0066445E"/>
    <w:rsid w:val="00667045"/>
    <w:rsid w:val="00670A00"/>
    <w:rsid w:val="00670C23"/>
    <w:rsid w:val="00672B86"/>
    <w:rsid w:val="00673031"/>
    <w:rsid w:val="00673EB3"/>
    <w:rsid w:val="00680BE8"/>
    <w:rsid w:val="00686409"/>
    <w:rsid w:val="00686D19"/>
    <w:rsid w:val="0068777F"/>
    <w:rsid w:val="00693018"/>
    <w:rsid w:val="006A0059"/>
    <w:rsid w:val="006A7425"/>
    <w:rsid w:val="006B058A"/>
    <w:rsid w:val="006B1299"/>
    <w:rsid w:val="006B26D9"/>
    <w:rsid w:val="006B310C"/>
    <w:rsid w:val="006B664C"/>
    <w:rsid w:val="006C1125"/>
    <w:rsid w:val="006C1C83"/>
    <w:rsid w:val="006C3E78"/>
    <w:rsid w:val="006C54E6"/>
    <w:rsid w:val="006C5762"/>
    <w:rsid w:val="006C690D"/>
    <w:rsid w:val="006D149F"/>
    <w:rsid w:val="006D3396"/>
    <w:rsid w:val="006D5AFF"/>
    <w:rsid w:val="006E050C"/>
    <w:rsid w:val="006E152B"/>
    <w:rsid w:val="006E36D1"/>
    <w:rsid w:val="006E4002"/>
    <w:rsid w:val="006E4DB6"/>
    <w:rsid w:val="006E622E"/>
    <w:rsid w:val="006E710C"/>
    <w:rsid w:val="006E7938"/>
    <w:rsid w:val="006E79FB"/>
    <w:rsid w:val="006F229A"/>
    <w:rsid w:val="006F3BB9"/>
    <w:rsid w:val="006F4AA6"/>
    <w:rsid w:val="007007FA"/>
    <w:rsid w:val="007027B3"/>
    <w:rsid w:val="007036CA"/>
    <w:rsid w:val="007041CB"/>
    <w:rsid w:val="00705090"/>
    <w:rsid w:val="00705102"/>
    <w:rsid w:val="00705DDB"/>
    <w:rsid w:val="0070675E"/>
    <w:rsid w:val="00706A0E"/>
    <w:rsid w:val="00707E95"/>
    <w:rsid w:val="00710573"/>
    <w:rsid w:val="00710808"/>
    <w:rsid w:val="007116CB"/>
    <w:rsid w:val="0071211E"/>
    <w:rsid w:val="00712B1B"/>
    <w:rsid w:val="0071622D"/>
    <w:rsid w:val="007168CC"/>
    <w:rsid w:val="007176BB"/>
    <w:rsid w:val="00717811"/>
    <w:rsid w:val="00720A17"/>
    <w:rsid w:val="00720D4B"/>
    <w:rsid w:val="007215DD"/>
    <w:rsid w:val="00721A49"/>
    <w:rsid w:val="00723A0F"/>
    <w:rsid w:val="00726CB6"/>
    <w:rsid w:val="00727255"/>
    <w:rsid w:val="0072779B"/>
    <w:rsid w:val="00727CCF"/>
    <w:rsid w:val="0073446D"/>
    <w:rsid w:val="007349FF"/>
    <w:rsid w:val="00734B45"/>
    <w:rsid w:val="00736FFB"/>
    <w:rsid w:val="00740080"/>
    <w:rsid w:val="00741A30"/>
    <w:rsid w:val="007504DC"/>
    <w:rsid w:val="0075142F"/>
    <w:rsid w:val="00751965"/>
    <w:rsid w:val="00751C96"/>
    <w:rsid w:val="007524EF"/>
    <w:rsid w:val="00752689"/>
    <w:rsid w:val="00754B4D"/>
    <w:rsid w:val="00756D1D"/>
    <w:rsid w:val="00760886"/>
    <w:rsid w:val="007615CA"/>
    <w:rsid w:val="00761ADD"/>
    <w:rsid w:val="00762B3A"/>
    <w:rsid w:val="00765D6E"/>
    <w:rsid w:val="00765D7E"/>
    <w:rsid w:val="007674B6"/>
    <w:rsid w:val="00770E90"/>
    <w:rsid w:val="00772C42"/>
    <w:rsid w:val="0077302F"/>
    <w:rsid w:val="00773661"/>
    <w:rsid w:val="00774A61"/>
    <w:rsid w:val="00774E08"/>
    <w:rsid w:val="00774E72"/>
    <w:rsid w:val="0077732A"/>
    <w:rsid w:val="0077746F"/>
    <w:rsid w:val="007775FE"/>
    <w:rsid w:val="00780A5F"/>
    <w:rsid w:val="00784913"/>
    <w:rsid w:val="00785B90"/>
    <w:rsid w:val="0078639C"/>
    <w:rsid w:val="007913D3"/>
    <w:rsid w:val="0079790C"/>
    <w:rsid w:val="007A102A"/>
    <w:rsid w:val="007A15E6"/>
    <w:rsid w:val="007A194B"/>
    <w:rsid w:val="007A4BCD"/>
    <w:rsid w:val="007A5714"/>
    <w:rsid w:val="007A5EFA"/>
    <w:rsid w:val="007A6821"/>
    <w:rsid w:val="007A75EF"/>
    <w:rsid w:val="007B03B6"/>
    <w:rsid w:val="007B1257"/>
    <w:rsid w:val="007B33CC"/>
    <w:rsid w:val="007B4133"/>
    <w:rsid w:val="007B49F4"/>
    <w:rsid w:val="007B7AB4"/>
    <w:rsid w:val="007C2405"/>
    <w:rsid w:val="007C2A54"/>
    <w:rsid w:val="007C2B69"/>
    <w:rsid w:val="007C2DC1"/>
    <w:rsid w:val="007C3B05"/>
    <w:rsid w:val="007C3D25"/>
    <w:rsid w:val="007C4998"/>
    <w:rsid w:val="007C668F"/>
    <w:rsid w:val="007C723F"/>
    <w:rsid w:val="007C778D"/>
    <w:rsid w:val="007D07D6"/>
    <w:rsid w:val="007D18A6"/>
    <w:rsid w:val="007D1CA0"/>
    <w:rsid w:val="007D2DF5"/>
    <w:rsid w:val="007D4994"/>
    <w:rsid w:val="007D4BB3"/>
    <w:rsid w:val="007D4F6E"/>
    <w:rsid w:val="007D5ECD"/>
    <w:rsid w:val="007D61CA"/>
    <w:rsid w:val="007D6DCF"/>
    <w:rsid w:val="007D6F0D"/>
    <w:rsid w:val="007D7963"/>
    <w:rsid w:val="007E3532"/>
    <w:rsid w:val="007E5FE3"/>
    <w:rsid w:val="007E64DF"/>
    <w:rsid w:val="007E657D"/>
    <w:rsid w:val="007E7119"/>
    <w:rsid w:val="007E71BB"/>
    <w:rsid w:val="007E7B90"/>
    <w:rsid w:val="007E7C13"/>
    <w:rsid w:val="007F2464"/>
    <w:rsid w:val="007F4A64"/>
    <w:rsid w:val="007F4ADE"/>
    <w:rsid w:val="007F5A5A"/>
    <w:rsid w:val="007F5EDC"/>
    <w:rsid w:val="00800AFD"/>
    <w:rsid w:val="00800C1B"/>
    <w:rsid w:val="0080239D"/>
    <w:rsid w:val="00803CF3"/>
    <w:rsid w:val="00806EAB"/>
    <w:rsid w:val="00810E52"/>
    <w:rsid w:val="00811451"/>
    <w:rsid w:val="00811CA7"/>
    <w:rsid w:val="0081636E"/>
    <w:rsid w:val="0082112E"/>
    <w:rsid w:val="00822F2B"/>
    <w:rsid w:val="00823D9A"/>
    <w:rsid w:val="00827EA4"/>
    <w:rsid w:val="008301D6"/>
    <w:rsid w:val="008305B7"/>
    <w:rsid w:val="00830C78"/>
    <w:rsid w:val="00830FB9"/>
    <w:rsid w:val="00834968"/>
    <w:rsid w:val="00834B53"/>
    <w:rsid w:val="00840298"/>
    <w:rsid w:val="00841BE4"/>
    <w:rsid w:val="00845A53"/>
    <w:rsid w:val="00847E8C"/>
    <w:rsid w:val="008505E1"/>
    <w:rsid w:val="00850B19"/>
    <w:rsid w:val="00852488"/>
    <w:rsid w:val="0085405E"/>
    <w:rsid w:val="008571DD"/>
    <w:rsid w:val="0085772E"/>
    <w:rsid w:val="00860344"/>
    <w:rsid w:val="00860E2C"/>
    <w:rsid w:val="00864BC6"/>
    <w:rsid w:val="00865EE6"/>
    <w:rsid w:val="00870D23"/>
    <w:rsid w:val="00872B72"/>
    <w:rsid w:val="00873022"/>
    <w:rsid w:val="00876468"/>
    <w:rsid w:val="008767E1"/>
    <w:rsid w:val="00876CC7"/>
    <w:rsid w:val="00881952"/>
    <w:rsid w:val="008823E4"/>
    <w:rsid w:val="008837C4"/>
    <w:rsid w:val="008849F3"/>
    <w:rsid w:val="00884E78"/>
    <w:rsid w:val="0088673B"/>
    <w:rsid w:val="00887265"/>
    <w:rsid w:val="00887500"/>
    <w:rsid w:val="008905AD"/>
    <w:rsid w:val="008920F2"/>
    <w:rsid w:val="0089348A"/>
    <w:rsid w:val="00894E9F"/>
    <w:rsid w:val="00895424"/>
    <w:rsid w:val="00896CEC"/>
    <w:rsid w:val="008A06BC"/>
    <w:rsid w:val="008A0AA3"/>
    <w:rsid w:val="008A0EAA"/>
    <w:rsid w:val="008A149F"/>
    <w:rsid w:val="008A19FD"/>
    <w:rsid w:val="008A1A25"/>
    <w:rsid w:val="008A4E05"/>
    <w:rsid w:val="008A56DB"/>
    <w:rsid w:val="008A6CFC"/>
    <w:rsid w:val="008B0DBF"/>
    <w:rsid w:val="008B2125"/>
    <w:rsid w:val="008B25D4"/>
    <w:rsid w:val="008B38E5"/>
    <w:rsid w:val="008B58C4"/>
    <w:rsid w:val="008B6CD2"/>
    <w:rsid w:val="008B72DD"/>
    <w:rsid w:val="008C050B"/>
    <w:rsid w:val="008C1132"/>
    <w:rsid w:val="008C302A"/>
    <w:rsid w:val="008C3E42"/>
    <w:rsid w:val="008C4B72"/>
    <w:rsid w:val="008C5279"/>
    <w:rsid w:val="008C527D"/>
    <w:rsid w:val="008C5C9F"/>
    <w:rsid w:val="008C6773"/>
    <w:rsid w:val="008C72BB"/>
    <w:rsid w:val="008D140C"/>
    <w:rsid w:val="008D2BAE"/>
    <w:rsid w:val="008D2C9E"/>
    <w:rsid w:val="008D41F5"/>
    <w:rsid w:val="008D521F"/>
    <w:rsid w:val="008D5C06"/>
    <w:rsid w:val="008D6227"/>
    <w:rsid w:val="008D7A8B"/>
    <w:rsid w:val="008E41D3"/>
    <w:rsid w:val="008E43F1"/>
    <w:rsid w:val="008E594F"/>
    <w:rsid w:val="008E7312"/>
    <w:rsid w:val="008E789B"/>
    <w:rsid w:val="008F01B7"/>
    <w:rsid w:val="008F297F"/>
    <w:rsid w:val="008F447E"/>
    <w:rsid w:val="00904BA9"/>
    <w:rsid w:val="00904E7E"/>
    <w:rsid w:val="0091086B"/>
    <w:rsid w:val="00911129"/>
    <w:rsid w:val="00912EA3"/>
    <w:rsid w:val="00914B6E"/>
    <w:rsid w:val="009156A2"/>
    <w:rsid w:val="0091579A"/>
    <w:rsid w:val="0091615D"/>
    <w:rsid w:val="0092026B"/>
    <w:rsid w:val="00923F7E"/>
    <w:rsid w:val="00924C96"/>
    <w:rsid w:val="00925030"/>
    <w:rsid w:val="00925B32"/>
    <w:rsid w:val="00930A64"/>
    <w:rsid w:val="00930BE5"/>
    <w:rsid w:val="00931403"/>
    <w:rsid w:val="00934991"/>
    <w:rsid w:val="009351A7"/>
    <w:rsid w:val="009426B9"/>
    <w:rsid w:val="00944E85"/>
    <w:rsid w:val="0094634C"/>
    <w:rsid w:val="009463AB"/>
    <w:rsid w:val="00950239"/>
    <w:rsid w:val="00950332"/>
    <w:rsid w:val="00955899"/>
    <w:rsid w:val="00955A03"/>
    <w:rsid w:val="0096203D"/>
    <w:rsid w:val="0096224A"/>
    <w:rsid w:val="00963289"/>
    <w:rsid w:val="00964A78"/>
    <w:rsid w:val="009656B4"/>
    <w:rsid w:val="00966CA0"/>
    <w:rsid w:val="00966D74"/>
    <w:rsid w:val="00967F9D"/>
    <w:rsid w:val="00970275"/>
    <w:rsid w:val="00970ABF"/>
    <w:rsid w:val="009710E2"/>
    <w:rsid w:val="00972E9C"/>
    <w:rsid w:val="0097391E"/>
    <w:rsid w:val="00973DF3"/>
    <w:rsid w:val="009742DA"/>
    <w:rsid w:val="009743BE"/>
    <w:rsid w:val="009753A0"/>
    <w:rsid w:val="00977437"/>
    <w:rsid w:val="00977C89"/>
    <w:rsid w:val="009802B4"/>
    <w:rsid w:val="00980AB3"/>
    <w:rsid w:val="009848CB"/>
    <w:rsid w:val="00984D10"/>
    <w:rsid w:val="0098600B"/>
    <w:rsid w:val="009861C1"/>
    <w:rsid w:val="00987177"/>
    <w:rsid w:val="00987F11"/>
    <w:rsid w:val="0099128D"/>
    <w:rsid w:val="009917F1"/>
    <w:rsid w:val="00991E37"/>
    <w:rsid w:val="00991E74"/>
    <w:rsid w:val="009926A6"/>
    <w:rsid w:val="0099415E"/>
    <w:rsid w:val="009948BF"/>
    <w:rsid w:val="00997465"/>
    <w:rsid w:val="00997844"/>
    <w:rsid w:val="009978C2"/>
    <w:rsid w:val="009A1437"/>
    <w:rsid w:val="009A345F"/>
    <w:rsid w:val="009A4AE5"/>
    <w:rsid w:val="009A5218"/>
    <w:rsid w:val="009A6806"/>
    <w:rsid w:val="009B1717"/>
    <w:rsid w:val="009B22D2"/>
    <w:rsid w:val="009B2839"/>
    <w:rsid w:val="009B4C17"/>
    <w:rsid w:val="009B5BF6"/>
    <w:rsid w:val="009C0AA4"/>
    <w:rsid w:val="009C1C79"/>
    <w:rsid w:val="009C339C"/>
    <w:rsid w:val="009C33B8"/>
    <w:rsid w:val="009D07A0"/>
    <w:rsid w:val="009D107D"/>
    <w:rsid w:val="009D1871"/>
    <w:rsid w:val="009D2985"/>
    <w:rsid w:val="009D3033"/>
    <w:rsid w:val="009D5770"/>
    <w:rsid w:val="009D6AF5"/>
    <w:rsid w:val="009D6CF1"/>
    <w:rsid w:val="009D74BA"/>
    <w:rsid w:val="009E0874"/>
    <w:rsid w:val="009E1A16"/>
    <w:rsid w:val="009E2045"/>
    <w:rsid w:val="009E4A84"/>
    <w:rsid w:val="009E6973"/>
    <w:rsid w:val="009F0466"/>
    <w:rsid w:val="009F2680"/>
    <w:rsid w:val="009F4200"/>
    <w:rsid w:val="009F4933"/>
    <w:rsid w:val="009F5FD0"/>
    <w:rsid w:val="009F6DD5"/>
    <w:rsid w:val="009F7B12"/>
    <w:rsid w:val="00A020A2"/>
    <w:rsid w:val="00A0297B"/>
    <w:rsid w:val="00A0358E"/>
    <w:rsid w:val="00A049F9"/>
    <w:rsid w:val="00A0529B"/>
    <w:rsid w:val="00A0766F"/>
    <w:rsid w:val="00A07EBE"/>
    <w:rsid w:val="00A10713"/>
    <w:rsid w:val="00A1252C"/>
    <w:rsid w:val="00A13B8B"/>
    <w:rsid w:val="00A151B7"/>
    <w:rsid w:val="00A21225"/>
    <w:rsid w:val="00A2139C"/>
    <w:rsid w:val="00A218F9"/>
    <w:rsid w:val="00A21E37"/>
    <w:rsid w:val="00A23314"/>
    <w:rsid w:val="00A235BB"/>
    <w:rsid w:val="00A23F10"/>
    <w:rsid w:val="00A23F72"/>
    <w:rsid w:val="00A26AB8"/>
    <w:rsid w:val="00A322BF"/>
    <w:rsid w:val="00A3373F"/>
    <w:rsid w:val="00A33F51"/>
    <w:rsid w:val="00A349DF"/>
    <w:rsid w:val="00A40311"/>
    <w:rsid w:val="00A41032"/>
    <w:rsid w:val="00A4106C"/>
    <w:rsid w:val="00A428E7"/>
    <w:rsid w:val="00A43E49"/>
    <w:rsid w:val="00A44018"/>
    <w:rsid w:val="00A45DE9"/>
    <w:rsid w:val="00A47471"/>
    <w:rsid w:val="00A47E22"/>
    <w:rsid w:val="00A47ED0"/>
    <w:rsid w:val="00A509EA"/>
    <w:rsid w:val="00A51476"/>
    <w:rsid w:val="00A526D2"/>
    <w:rsid w:val="00A54412"/>
    <w:rsid w:val="00A5498B"/>
    <w:rsid w:val="00A550C8"/>
    <w:rsid w:val="00A5564C"/>
    <w:rsid w:val="00A559EC"/>
    <w:rsid w:val="00A569F8"/>
    <w:rsid w:val="00A56E60"/>
    <w:rsid w:val="00A571B3"/>
    <w:rsid w:val="00A626B5"/>
    <w:rsid w:val="00A62DF0"/>
    <w:rsid w:val="00A63620"/>
    <w:rsid w:val="00A63ECE"/>
    <w:rsid w:val="00A66342"/>
    <w:rsid w:val="00A665C8"/>
    <w:rsid w:val="00A6749E"/>
    <w:rsid w:val="00A70D88"/>
    <w:rsid w:val="00A71142"/>
    <w:rsid w:val="00A72895"/>
    <w:rsid w:val="00A74589"/>
    <w:rsid w:val="00A74E1B"/>
    <w:rsid w:val="00A7513A"/>
    <w:rsid w:val="00A75AC9"/>
    <w:rsid w:val="00A75B25"/>
    <w:rsid w:val="00A76AEE"/>
    <w:rsid w:val="00A801B4"/>
    <w:rsid w:val="00A82075"/>
    <w:rsid w:val="00A82192"/>
    <w:rsid w:val="00A857AB"/>
    <w:rsid w:val="00A90009"/>
    <w:rsid w:val="00A927A4"/>
    <w:rsid w:val="00A94CC0"/>
    <w:rsid w:val="00A9534A"/>
    <w:rsid w:val="00A957FA"/>
    <w:rsid w:val="00A968DC"/>
    <w:rsid w:val="00A977BA"/>
    <w:rsid w:val="00AA1A89"/>
    <w:rsid w:val="00AA346E"/>
    <w:rsid w:val="00AA3770"/>
    <w:rsid w:val="00AA3CFA"/>
    <w:rsid w:val="00AA41C3"/>
    <w:rsid w:val="00AA423C"/>
    <w:rsid w:val="00AA53E2"/>
    <w:rsid w:val="00AA73FD"/>
    <w:rsid w:val="00AB2F87"/>
    <w:rsid w:val="00AB32C3"/>
    <w:rsid w:val="00AB5E2B"/>
    <w:rsid w:val="00AB6069"/>
    <w:rsid w:val="00AB6467"/>
    <w:rsid w:val="00AC0575"/>
    <w:rsid w:val="00AC0758"/>
    <w:rsid w:val="00AC0934"/>
    <w:rsid w:val="00AC17EE"/>
    <w:rsid w:val="00AC2BFD"/>
    <w:rsid w:val="00AC4DDD"/>
    <w:rsid w:val="00AC5A43"/>
    <w:rsid w:val="00AC5D2C"/>
    <w:rsid w:val="00AC6B6D"/>
    <w:rsid w:val="00AD3559"/>
    <w:rsid w:val="00AD3B05"/>
    <w:rsid w:val="00AD3C8E"/>
    <w:rsid w:val="00AD470D"/>
    <w:rsid w:val="00AD5193"/>
    <w:rsid w:val="00AD7390"/>
    <w:rsid w:val="00AD73AC"/>
    <w:rsid w:val="00AD7E6F"/>
    <w:rsid w:val="00AE1BD8"/>
    <w:rsid w:val="00AE2817"/>
    <w:rsid w:val="00AE304B"/>
    <w:rsid w:val="00AE3D3E"/>
    <w:rsid w:val="00AE49B2"/>
    <w:rsid w:val="00AE6BEB"/>
    <w:rsid w:val="00AE7789"/>
    <w:rsid w:val="00AF09BD"/>
    <w:rsid w:val="00AF32EA"/>
    <w:rsid w:val="00AF3DED"/>
    <w:rsid w:val="00AF48B1"/>
    <w:rsid w:val="00AF4FB8"/>
    <w:rsid w:val="00AF6713"/>
    <w:rsid w:val="00AF6BD6"/>
    <w:rsid w:val="00AF753A"/>
    <w:rsid w:val="00B021ED"/>
    <w:rsid w:val="00B0250D"/>
    <w:rsid w:val="00B032B1"/>
    <w:rsid w:val="00B03F46"/>
    <w:rsid w:val="00B059B8"/>
    <w:rsid w:val="00B07418"/>
    <w:rsid w:val="00B11547"/>
    <w:rsid w:val="00B11EF0"/>
    <w:rsid w:val="00B1226C"/>
    <w:rsid w:val="00B127F4"/>
    <w:rsid w:val="00B14F05"/>
    <w:rsid w:val="00B152B4"/>
    <w:rsid w:val="00B15D01"/>
    <w:rsid w:val="00B20EBF"/>
    <w:rsid w:val="00B24F44"/>
    <w:rsid w:val="00B25428"/>
    <w:rsid w:val="00B255BB"/>
    <w:rsid w:val="00B25E24"/>
    <w:rsid w:val="00B2609A"/>
    <w:rsid w:val="00B301B1"/>
    <w:rsid w:val="00B30D4D"/>
    <w:rsid w:val="00B353E7"/>
    <w:rsid w:val="00B35759"/>
    <w:rsid w:val="00B3619A"/>
    <w:rsid w:val="00B365B7"/>
    <w:rsid w:val="00B40BCA"/>
    <w:rsid w:val="00B4308D"/>
    <w:rsid w:val="00B440DA"/>
    <w:rsid w:val="00B4415A"/>
    <w:rsid w:val="00B503CD"/>
    <w:rsid w:val="00B548AB"/>
    <w:rsid w:val="00B54BBE"/>
    <w:rsid w:val="00B553F8"/>
    <w:rsid w:val="00B560B6"/>
    <w:rsid w:val="00B5630E"/>
    <w:rsid w:val="00B62FB6"/>
    <w:rsid w:val="00B635BF"/>
    <w:rsid w:val="00B7050A"/>
    <w:rsid w:val="00B70904"/>
    <w:rsid w:val="00B70A42"/>
    <w:rsid w:val="00B74791"/>
    <w:rsid w:val="00B76AF9"/>
    <w:rsid w:val="00B8115B"/>
    <w:rsid w:val="00B81AE2"/>
    <w:rsid w:val="00B82D30"/>
    <w:rsid w:val="00B85825"/>
    <w:rsid w:val="00B87F62"/>
    <w:rsid w:val="00B914A4"/>
    <w:rsid w:val="00B92497"/>
    <w:rsid w:val="00B92D41"/>
    <w:rsid w:val="00B93679"/>
    <w:rsid w:val="00B9422D"/>
    <w:rsid w:val="00B95A1D"/>
    <w:rsid w:val="00B9634B"/>
    <w:rsid w:val="00BA5072"/>
    <w:rsid w:val="00BA5B65"/>
    <w:rsid w:val="00BA6EC0"/>
    <w:rsid w:val="00BA7BFE"/>
    <w:rsid w:val="00BB0ECA"/>
    <w:rsid w:val="00BB246B"/>
    <w:rsid w:val="00BB4F49"/>
    <w:rsid w:val="00BB60F7"/>
    <w:rsid w:val="00BB6B2D"/>
    <w:rsid w:val="00BB7375"/>
    <w:rsid w:val="00BC0500"/>
    <w:rsid w:val="00BC44F5"/>
    <w:rsid w:val="00BC500B"/>
    <w:rsid w:val="00BC547C"/>
    <w:rsid w:val="00BC6B29"/>
    <w:rsid w:val="00BC798C"/>
    <w:rsid w:val="00BC7D11"/>
    <w:rsid w:val="00BD00FD"/>
    <w:rsid w:val="00BD15A2"/>
    <w:rsid w:val="00BD2153"/>
    <w:rsid w:val="00BD22FE"/>
    <w:rsid w:val="00BD337A"/>
    <w:rsid w:val="00BD558D"/>
    <w:rsid w:val="00BD5CC3"/>
    <w:rsid w:val="00BD7059"/>
    <w:rsid w:val="00BE1F47"/>
    <w:rsid w:val="00BE24AD"/>
    <w:rsid w:val="00BE2787"/>
    <w:rsid w:val="00BE50F1"/>
    <w:rsid w:val="00BE51BB"/>
    <w:rsid w:val="00BE7ECD"/>
    <w:rsid w:val="00BF1682"/>
    <w:rsid w:val="00BF241A"/>
    <w:rsid w:val="00BF3AFB"/>
    <w:rsid w:val="00BF3DD2"/>
    <w:rsid w:val="00BF4344"/>
    <w:rsid w:val="00BF6970"/>
    <w:rsid w:val="00BF69C6"/>
    <w:rsid w:val="00C005D8"/>
    <w:rsid w:val="00C02F31"/>
    <w:rsid w:val="00C04DA5"/>
    <w:rsid w:val="00C050FC"/>
    <w:rsid w:val="00C05D40"/>
    <w:rsid w:val="00C11905"/>
    <w:rsid w:val="00C14462"/>
    <w:rsid w:val="00C16542"/>
    <w:rsid w:val="00C22382"/>
    <w:rsid w:val="00C2355B"/>
    <w:rsid w:val="00C274A6"/>
    <w:rsid w:val="00C3216D"/>
    <w:rsid w:val="00C34201"/>
    <w:rsid w:val="00C355FD"/>
    <w:rsid w:val="00C35A38"/>
    <w:rsid w:val="00C35EC9"/>
    <w:rsid w:val="00C36807"/>
    <w:rsid w:val="00C37392"/>
    <w:rsid w:val="00C41545"/>
    <w:rsid w:val="00C4209D"/>
    <w:rsid w:val="00C42926"/>
    <w:rsid w:val="00C432B3"/>
    <w:rsid w:val="00C4771E"/>
    <w:rsid w:val="00C47D15"/>
    <w:rsid w:val="00C50279"/>
    <w:rsid w:val="00C505EC"/>
    <w:rsid w:val="00C5165A"/>
    <w:rsid w:val="00C52841"/>
    <w:rsid w:val="00C54FC6"/>
    <w:rsid w:val="00C56F88"/>
    <w:rsid w:val="00C57B7E"/>
    <w:rsid w:val="00C57EC7"/>
    <w:rsid w:val="00C60217"/>
    <w:rsid w:val="00C66D15"/>
    <w:rsid w:val="00C671D0"/>
    <w:rsid w:val="00C70449"/>
    <w:rsid w:val="00C7071B"/>
    <w:rsid w:val="00C714EF"/>
    <w:rsid w:val="00C73904"/>
    <w:rsid w:val="00C73BAE"/>
    <w:rsid w:val="00C73F7B"/>
    <w:rsid w:val="00C74055"/>
    <w:rsid w:val="00C7421D"/>
    <w:rsid w:val="00C76481"/>
    <w:rsid w:val="00C76812"/>
    <w:rsid w:val="00C83D88"/>
    <w:rsid w:val="00C84961"/>
    <w:rsid w:val="00C84B06"/>
    <w:rsid w:val="00C87100"/>
    <w:rsid w:val="00C87CAC"/>
    <w:rsid w:val="00C913A1"/>
    <w:rsid w:val="00C950D6"/>
    <w:rsid w:val="00C97646"/>
    <w:rsid w:val="00C97672"/>
    <w:rsid w:val="00CA4D42"/>
    <w:rsid w:val="00CA55BD"/>
    <w:rsid w:val="00CB0837"/>
    <w:rsid w:val="00CB2BFA"/>
    <w:rsid w:val="00CB3888"/>
    <w:rsid w:val="00CB400E"/>
    <w:rsid w:val="00CB48F6"/>
    <w:rsid w:val="00CB5F04"/>
    <w:rsid w:val="00CB67F1"/>
    <w:rsid w:val="00CB7DC8"/>
    <w:rsid w:val="00CC0EC0"/>
    <w:rsid w:val="00CC34DB"/>
    <w:rsid w:val="00CC51AC"/>
    <w:rsid w:val="00CC609D"/>
    <w:rsid w:val="00CC7044"/>
    <w:rsid w:val="00CD11FF"/>
    <w:rsid w:val="00CD15E7"/>
    <w:rsid w:val="00CE07A9"/>
    <w:rsid w:val="00CE1012"/>
    <w:rsid w:val="00CE419E"/>
    <w:rsid w:val="00CE5011"/>
    <w:rsid w:val="00CE574A"/>
    <w:rsid w:val="00CE5DC5"/>
    <w:rsid w:val="00CE629E"/>
    <w:rsid w:val="00CE66CE"/>
    <w:rsid w:val="00CE77AA"/>
    <w:rsid w:val="00CE7B59"/>
    <w:rsid w:val="00CF352C"/>
    <w:rsid w:val="00CF4570"/>
    <w:rsid w:val="00CF58EE"/>
    <w:rsid w:val="00D00811"/>
    <w:rsid w:val="00D02A43"/>
    <w:rsid w:val="00D04518"/>
    <w:rsid w:val="00D05489"/>
    <w:rsid w:val="00D05CA1"/>
    <w:rsid w:val="00D061CB"/>
    <w:rsid w:val="00D0796C"/>
    <w:rsid w:val="00D07B7D"/>
    <w:rsid w:val="00D11A35"/>
    <w:rsid w:val="00D13130"/>
    <w:rsid w:val="00D146D4"/>
    <w:rsid w:val="00D14B3C"/>
    <w:rsid w:val="00D14BA5"/>
    <w:rsid w:val="00D16580"/>
    <w:rsid w:val="00D20E20"/>
    <w:rsid w:val="00D21C3A"/>
    <w:rsid w:val="00D228DA"/>
    <w:rsid w:val="00D22E01"/>
    <w:rsid w:val="00D238A5"/>
    <w:rsid w:val="00D24621"/>
    <w:rsid w:val="00D2600F"/>
    <w:rsid w:val="00D30EEA"/>
    <w:rsid w:val="00D31534"/>
    <w:rsid w:val="00D32C1F"/>
    <w:rsid w:val="00D33FC2"/>
    <w:rsid w:val="00D37394"/>
    <w:rsid w:val="00D46699"/>
    <w:rsid w:val="00D47345"/>
    <w:rsid w:val="00D5073F"/>
    <w:rsid w:val="00D51573"/>
    <w:rsid w:val="00D5399A"/>
    <w:rsid w:val="00D5444F"/>
    <w:rsid w:val="00D54E0D"/>
    <w:rsid w:val="00D54F7D"/>
    <w:rsid w:val="00D57528"/>
    <w:rsid w:val="00D602CA"/>
    <w:rsid w:val="00D60DD8"/>
    <w:rsid w:val="00D6361D"/>
    <w:rsid w:val="00D64C6C"/>
    <w:rsid w:val="00D66D42"/>
    <w:rsid w:val="00D71734"/>
    <w:rsid w:val="00D7244A"/>
    <w:rsid w:val="00D72BCC"/>
    <w:rsid w:val="00D746C0"/>
    <w:rsid w:val="00D74723"/>
    <w:rsid w:val="00D76091"/>
    <w:rsid w:val="00D76B9C"/>
    <w:rsid w:val="00D76D82"/>
    <w:rsid w:val="00D77D65"/>
    <w:rsid w:val="00D80448"/>
    <w:rsid w:val="00D80C4F"/>
    <w:rsid w:val="00D8149F"/>
    <w:rsid w:val="00D814FB"/>
    <w:rsid w:val="00D8373D"/>
    <w:rsid w:val="00D83D95"/>
    <w:rsid w:val="00D90293"/>
    <w:rsid w:val="00D90496"/>
    <w:rsid w:val="00D917BC"/>
    <w:rsid w:val="00D942DE"/>
    <w:rsid w:val="00D9491E"/>
    <w:rsid w:val="00DA070D"/>
    <w:rsid w:val="00DA3B2F"/>
    <w:rsid w:val="00DA4731"/>
    <w:rsid w:val="00DA5040"/>
    <w:rsid w:val="00DA7D5F"/>
    <w:rsid w:val="00DB053E"/>
    <w:rsid w:val="00DB11B2"/>
    <w:rsid w:val="00DB161E"/>
    <w:rsid w:val="00DB31B5"/>
    <w:rsid w:val="00DB5BBA"/>
    <w:rsid w:val="00DC03DB"/>
    <w:rsid w:val="00DC1206"/>
    <w:rsid w:val="00DC2484"/>
    <w:rsid w:val="00DC2BE8"/>
    <w:rsid w:val="00DC2BEC"/>
    <w:rsid w:val="00DC3256"/>
    <w:rsid w:val="00DC35A6"/>
    <w:rsid w:val="00DD090A"/>
    <w:rsid w:val="00DD2421"/>
    <w:rsid w:val="00DD3222"/>
    <w:rsid w:val="00DD3D81"/>
    <w:rsid w:val="00DD571C"/>
    <w:rsid w:val="00DD64E1"/>
    <w:rsid w:val="00DE039A"/>
    <w:rsid w:val="00DE0403"/>
    <w:rsid w:val="00DE4811"/>
    <w:rsid w:val="00DE5458"/>
    <w:rsid w:val="00DE5964"/>
    <w:rsid w:val="00DE5EE6"/>
    <w:rsid w:val="00DE77EA"/>
    <w:rsid w:val="00DF0ABA"/>
    <w:rsid w:val="00DF1EEE"/>
    <w:rsid w:val="00DF6C58"/>
    <w:rsid w:val="00E001C1"/>
    <w:rsid w:val="00E039F3"/>
    <w:rsid w:val="00E03C30"/>
    <w:rsid w:val="00E078BD"/>
    <w:rsid w:val="00E078F8"/>
    <w:rsid w:val="00E1142B"/>
    <w:rsid w:val="00E11F10"/>
    <w:rsid w:val="00E157E4"/>
    <w:rsid w:val="00E15950"/>
    <w:rsid w:val="00E16522"/>
    <w:rsid w:val="00E1750C"/>
    <w:rsid w:val="00E178A6"/>
    <w:rsid w:val="00E20545"/>
    <w:rsid w:val="00E223C6"/>
    <w:rsid w:val="00E2443D"/>
    <w:rsid w:val="00E24789"/>
    <w:rsid w:val="00E2519B"/>
    <w:rsid w:val="00E26615"/>
    <w:rsid w:val="00E26F37"/>
    <w:rsid w:val="00E33928"/>
    <w:rsid w:val="00E33C90"/>
    <w:rsid w:val="00E34D15"/>
    <w:rsid w:val="00E35E86"/>
    <w:rsid w:val="00E36B45"/>
    <w:rsid w:val="00E37BF1"/>
    <w:rsid w:val="00E428B3"/>
    <w:rsid w:val="00E44D19"/>
    <w:rsid w:val="00E51372"/>
    <w:rsid w:val="00E51CAF"/>
    <w:rsid w:val="00E51E95"/>
    <w:rsid w:val="00E51F9D"/>
    <w:rsid w:val="00E5202F"/>
    <w:rsid w:val="00E5211A"/>
    <w:rsid w:val="00E53A9F"/>
    <w:rsid w:val="00E549AF"/>
    <w:rsid w:val="00E60540"/>
    <w:rsid w:val="00E61C74"/>
    <w:rsid w:val="00E63D8F"/>
    <w:rsid w:val="00E706B6"/>
    <w:rsid w:val="00E75155"/>
    <w:rsid w:val="00E76FF1"/>
    <w:rsid w:val="00E774FE"/>
    <w:rsid w:val="00E809A0"/>
    <w:rsid w:val="00E80AF7"/>
    <w:rsid w:val="00E84407"/>
    <w:rsid w:val="00E85E54"/>
    <w:rsid w:val="00E86146"/>
    <w:rsid w:val="00E86A76"/>
    <w:rsid w:val="00E87A90"/>
    <w:rsid w:val="00E904D1"/>
    <w:rsid w:val="00E92425"/>
    <w:rsid w:val="00E92AD3"/>
    <w:rsid w:val="00E959EA"/>
    <w:rsid w:val="00E96237"/>
    <w:rsid w:val="00E965D7"/>
    <w:rsid w:val="00E96D30"/>
    <w:rsid w:val="00EA1327"/>
    <w:rsid w:val="00EA4378"/>
    <w:rsid w:val="00EA623C"/>
    <w:rsid w:val="00EA6395"/>
    <w:rsid w:val="00EB044B"/>
    <w:rsid w:val="00EB067C"/>
    <w:rsid w:val="00EB3C66"/>
    <w:rsid w:val="00EB4B03"/>
    <w:rsid w:val="00EB5DEE"/>
    <w:rsid w:val="00EB64CB"/>
    <w:rsid w:val="00EB6D46"/>
    <w:rsid w:val="00EC07F3"/>
    <w:rsid w:val="00EC3194"/>
    <w:rsid w:val="00EC518D"/>
    <w:rsid w:val="00EC71D3"/>
    <w:rsid w:val="00ED02FE"/>
    <w:rsid w:val="00ED1751"/>
    <w:rsid w:val="00ED1EC9"/>
    <w:rsid w:val="00ED3737"/>
    <w:rsid w:val="00ED3856"/>
    <w:rsid w:val="00ED3E2E"/>
    <w:rsid w:val="00ED4CC8"/>
    <w:rsid w:val="00ED6A08"/>
    <w:rsid w:val="00EE05EE"/>
    <w:rsid w:val="00EE0AE2"/>
    <w:rsid w:val="00EE35B4"/>
    <w:rsid w:val="00EE5643"/>
    <w:rsid w:val="00EE7CEC"/>
    <w:rsid w:val="00EF056E"/>
    <w:rsid w:val="00EF09B3"/>
    <w:rsid w:val="00EF0A3E"/>
    <w:rsid w:val="00EF5EC6"/>
    <w:rsid w:val="00EF646F"/>
    <w:rsid w:val="00EF791E"/>
    <w:rsid w:val="00EF7A63"/>
    <w:rsid w:val="00F00D58"/>
    <w:rsid w:val="00F0226C"/>
    <w:rsid w:val="00F02522"/>
    <w:rsid w:val="00F02AE0"/>
    <w:rsid w:val="00F02BFF"/>
    <w:rsid w:val="00F034DC"/>
    <w:rsid w:val="00F03953"/>
    <w:rsid w:val="00F04841"/>
    <w:rsid w:val="00F0579A"/>
    <w:rsid w:val="00F0674D"/>
    <w:rsid w:val="00F10287"/>
    <w:rsid w:val="00F10C82"/>
    <w:rsid w:val="00F13B2E"/>
    <w:rsid w:val="00F176A0"/>
    <w:rsid w:val="00F20174"/>
    <w:rsid w:val="00F22098"/>
    <w:rsid w:val="00F223BC"/>
    <w:rsid w:val="00F23780"/>
    <w:rsid w:val="00F26185"/>
    <w:rsid w:val="00F3178C"/>
    <w:rsid w:val="00F33DE5"/>
    <w:rsid w:val="00F34B8F"/>
    <w:rsid w:val="00F36D7F"/>
    <w:rsid w:val="00F37186"/>
    <w:rsid w:val="00F42FCF"/>
    <w:rsid w:val="00F44A83"/>
    <w:rsid w:val="00F51743"/>
    <w:rsid w:val="00F529D4"/>
    <w:rsid w:val="00F54F27"/>
    <w:rsid w:val="00F55FC8"/>
    <w:rsid w:val="00F604E3"/>
    <w:rsid w:val="00F610E6"/>
    <w:rsid w:val="00F61FCC"/>
    <w:rsid w:val="00F66036"/>
    <w:rsid w:val="00F6689D"/>
    <w:rsid w:val="00F67E23"/>
    <w:rsid w:val="00F71601"/>
    <w:rsid w:val="00F72C75"/>
    <w:rsid w:val="00F74033"/>
    <w:rsid w:val="00F759EB"/>
    <w:rsid w:val="00F772F7"/>
    <w:rsid w:val="00F81334"/>
    <w:rsid w:val="00F81A81"/>
    <w:rsid w:val="00F81CC5"/>
    <w:rsid w:val="00F8760D"/>
    <w:rsid w:val="00F87AAD"/>
    <w:rsid w:val="00F9174C"/>
    <w:rsid w:val="00F91D5C"/>
    <w:rsid w:val="00F92097"/>
    <w:rsid w:val="00F951DB"/>
    <w:rsid w:val="00F9574A"/>
    <w:rsid w:val="00F95D64"/>
    <w:rsid w:val="00F9793B"/>
    <w:rsid w:val="00FA0EAA"/>
    <w:rsid w:val="00FA0F53"/>
    <w:rsid w:val="00FA1DA9"/>
    <w:rsid w:val="00FA3809"/>
    <w:rsid w:val="00FA3A95"/>
    <w:rsid w:val="00FA6D7E"/>
    <w:rsid w:val="00FB020D"/>
    <w:rsid w:val="00FB3F33"/>
    <w:rsid w:val="00FB43E4"/>
    <w:rsid w:val="00FB4889"/>
    <w:rsid w:val="00FB676C"/>
    <w:rsid w:val="00FB67CC"/>
    <w:rsid w:val="00FB728E"/>
    <w:rsid w:val="00FC0ADE"/>
    <w:rsid w:val="00FC0FF1"/>
    <w:rsid w:val="00FC1FDF"/>
    <w:rsid w:val="00FC3360"/>
    <w:rsid w:val="00FC3E27"/>
    <w:rsid w:val="00FC493B"/>
    <w:rsid w:val="00FC63E5"/>
    <w:rsid w:val="00FD0E54"/>
    <w:rsid w:val="00FD2B71"/>
    <w:rsid w:val="00FD3576"/>
    <w:rsid w:val="00FD370B"/>
    <w:rsid w:val="00FD52D6"/>
    <w:rsid w:val="00FD56FC"/>
    <w:rsid w:val="00FD752B"/>
    <w:rsid w:val="00FD7DD7"/>
    <w:rsid w:val="00FD7EB3"/>
    <w:rsid w:val="00FE033E"/>
    <w:rsid w:val="00FE0D2F"/>
    <w:rsid w:val="00FE31C6"/>
    <w:rsid w:val="00FE4A65"/>
    <w:rsid w:val="00FE51E8"/>
    <w:rsid w:val="00FE602F"/>
    <w:rsid w:val="00FE6473"/>
    <w:rsid w:val="00FE7611"/>
    <w:rsid w:val="00FF0769"/>
    <w:rsid w:val="00FF0DB8"/>
    <w:rsid w:val="00FF1A76"/>
    <w:rsid w:val="00FF1C1D"/>
    <w:rsid w:val="00FF3330"/>
    <w:rsid w:val="00FF4080"/>
    <w:rsid w:val="00FF40A5"/>
    <w:rsid w:val="00FF48DA"/>
    <w:rsid w:val="00FF5E19"/>
    <w:rsid w:val="00FF61AD"/>
    <w:rsid w:val="00FF76BD"/>
    <w:rsid w:val="055E5641"/>
    <w:rsid w:val="16BA7B2A"/>
    <w:rsid w:val="1DB00093"/>
    <w:rsid w:val="1EB17C7A"/>
    <w:rsid w:val="35BF2EC8"/>
    <w:rsid w:val="40C5143E"/>
    <w:rsid w:val="43775A3F"/>
    <w:rsid w:val="44D13932"/>
    <w:rsid w:val="51534608"/>
    <w:rsid w:val="52507AB7"/>
    <w:rsid w:val="594026F0"/>
    <w:rsid w:val="5F1822F2"/>
    <w:rsid w:val="65A71B2B"/>
    <w:rsid w:val="7F1E54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textAlignment w:val="baseline"/>
    </w:pPr>
    <w:rPr>
      <w:rFonts w:ascii="Times New Roman" w:hAnsi="Times New Roman" w:eastAsia="宋体" w:cs="Times New Roman"/>
      <w:sz w:val="21"/>
      <w:lang w:val="en-GB" w:eastAsia="en-US" w:bidi="ar-SA"/>
    </w:rPr>
  </w:style>
  <w:style w:type="paragraph" w:styleId="2">
    <w:name w:val="heading 1"/>
    <w:basedOn w:val="1"/>
    <w:next w:val="1"/>
    <w:qFormat/>
    <w:uiPriority w:val="0"/>
    <w:pPr>
      <w:keepNext/>
      <w:keepLines/>
      <w:numPr>
        <w:ilvl w:val="0"/>
        <w:numId w:val="1"/>
      </w:numPr>
      <w:spacing w:line="360" w:lineRule="auto"/>
      <w:outlineLvl w:val="0"/>
    </w:pPr>
    <w:rPr>
      <w:b/>
      <w:bCs/>
      <w:kern w:val="44"/>
      <w:sz w:val="22"/>
      <w:szCs w:val="44"/>
    </w:rPr>
  </w:style>
  <w:style w:type="paragraph" w:styleId="3">
    <w:name w:val="heading 2"/>
    <w:basedOn w:val="1"/>
    <w:next w:val="1"/>
    <w:qFormat/>
    <w:uiPriority w:val="0"/>
    <w:pPr>
      <w:keepNext/>
      <w:keepLines/>
      <w:spacing w:line="360" w:lineRule="auto"/>
      <w:outlineLvl w:val="1"/>
    </w:pPr>
    <w:rPr>
      <w:bCs/>
      <w:sz w:val="22"/>
      <w:szCs w:val="32"/>
    </w:rPr>
  </w:style>
  <w:style w:type="paragraph" w:styleId="4">
    <w:name w:val="heading 3"/>
    <w:basedOn w:val="1"/>
    <w:next w:val="1"/>
    <w:qFormat/>
    <w:uiPriority w:val="0"/>
    <w:pPr>
      <w:keepNext/>
      <w:spacing w:line="360" w:lineRule="auto"/>
      <w:outlineLvl w:val="2"/>
    </w:pPr>
    <w:rPr>
      <w:sz w:val="22"/>
    </w:rPr>
  </w:style>
  <w:style w:type="paragraph" w:styleId="5">
    <w:name w:val="heading 4"/>
    <w:basedOn w:val="1"/>
    <w:next w:val="1"/>
    <w:qFormat/>
    <w:uiPriority w:val="0"/>
    <w:pPr>
      <w:keepNext/>
      <w:spacing w:before="240" w:after="60"/>
      <w:outlineLvl w:val="3"/>
    </w:pPr>
    <w:rPr>
      <w:b/>
      <w:i/>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2"/>
    <w:semiHidden/>
    <w:qFormat/>
    <w:uiPriority w:val="0"/>
  </w:style>
  <w:style w:type="paragraph" w:styleId="7">
    <w:name w:val="Body Text 3"/>
    <w:basedOn w:val="1"/>
    <w:link w:val="47"/>
    <w:qFormat/>
    <w:uiPriority w:val="0"/>
    <w:pPr>
      <w:spacing w:after="120"/>
    </w:pPr>
    <w:rPr>
      <w:sz w:val="16"/>
      <w:szCs w:val="16"/>
    </w:rPr>
  </w:style>
  <w:style w:type="paragraph" w:styleId="8">
    <w:name w:val="Body Text"/>
    <w:basedOn w:val="1"/>
    <w:qFormat/>
    <w:uiPriority w:val="0"/>
    <w:pPr>
      <w:ind w:right="56"/>
    </w:pPr>
    <w:rPr>
      <w:b/>
      <w:sz w:val="22"/>
    </w:rPr>
  </w:style>
  <w:style w:type="paragraph" w:styleId="9">
    <w:name w:val="Body Text Indent"/>
    <w:basedOn w:val="1"/>
    <w:qFormat/>
    <w:uiPriority w:val="0"/>
    <w:pPr>
      <w:spacing w:after="120"/>
      <w:ind w:left="420" w:leftChars="200"/>
    </w:pPr>
  </w:style>
  <w:style w:type="paragraph" w:styleId="10">
    <w:name w:val="toc 3"/>
    <w:basedOn w:val="1"/>
    <w:next w:val="1"/>
    <w:qFormat/>
    <w:uiPriority w:val="39"/>
    <w:pPr>
      <w:tabs>
        <w:tab w:val="right" w:leader="dot" w:pos="8302"/>
        <w:tab w:val="right" w:leader="dot" w:pos="8835"/>
      </w:tabs>
      <w:spacing w:line="360" w:lineRule="auto"/>
      <w:ind w:left="300" w:leftChars="300"/>
    </w:pPr>
    <w:rPr>
      <w:sz w:val="20"/>
    </w:rPr>
  </w:style>
  <w:style w:type="paragraph" w:styleId="11">
    <w:name w:val="Body Text Indent 2"/>
    <w:basedOn w:val="1"/>
    <w:qFormat/>
    <w:uiPriority w:val="0"/>
    <w:pPr>
      <w:spacing w:after="120" w:line="480" w:lineRule="auto"/>
      <w:ind w:left="420" w:leftChars="200"/>
    </w:pPr>
  </w:style>
  <w:style w:type="paragraph" w:styleId="12">
    <w:name w:val="Balloon Text"/>
    <w:basedOn w:val="1"/>
    <w:semiHidden/>
    <w:qFormat/>
    <w:uiPriority w:val="0"/>
    <w:rPr>
      <w:sz w:val="18"/>
      <w:szCs w:val="18"/>
    </w:rPr>
  </w:style>
  <w:style w:type="paragraph" w:styleId="13">
    <w:name w:val="footer"/>
    <w:basedOn w:val="1"/>
    <w:link w:val="34"/>
    <w:qFormat/>
    <w:uiPriority w:val="99"/>
    <w:pPr>
      <w:tabs>
        <w:tab w:val="center" w:pos="4320"/>
        <w:tab w:val="right" w:pos="8640"/>
      </w:tabs>
    </w:pPr>
  </w:style>
  <w:style w:type="paragraph" w:styleId="14">
    <w:name w:val="header"/>
    <w:basedOn w:val="1"/>
    <w:link w:val="26"/>
    <w:qFormat/>
    <w:uiPriority w:val="99"/>
    <w:pPr>
      <w:tabs>
        <w:tab w:val="center" w:pos="4320"/>
        <w:tab w:val="right" w:pos="8640"/>
      </w:tabs>
    </w:pPr>
  </w:style>
  <w:style w:type="paragraph" w:styleId="15">
    <w:name w:val="toc 1"/>
    <w:basedOn w:val="1"/>
    <w:next w:val="1"/>
    <w:qFormat/>
    <w:uiPriority w:val="39"/>
    <w:pPr>
      <w:widowControl w:val="0"/>
      <w:tabs>
        <w:tab w:val="left" w:pos="840"/>
        <w:tab w:val="right" w:leader="dot" w:pos="10080"/>
      </w:tabs>
      <w:overflowPunct/>
      <w:autoSpaceDE/>
      <w:autoSpaceDN/>
      <w:adjustRightInd/>
      <w:spacing w:line="360" w:lineRule="auto"/>
      <w:ind w:left="210"/>
      <w:textAlignment w:val="auto"/>
    </w:pPr>
    <w:rPr>
      <w:b/>
      <w:bCs/>
      <w:caps/>
      <w:kern w:val="2"/>
      <w:lang w:val="en-US" w:eastAsia="zh-CN"/>
    </w:rPr>
  </w:style>
  <w:style w:type="paragraph" w:styleId="16">
    <w:name w:val="toc 2"/>
    <w:basedOn w:val="1"/>
    <w:next w:val="1"/>
    <w:qFormat/>
    <w:uiPriority w:val="39"/>
    <w:pPr>
      <w:widowControl w:val="0"/>
      <w:tabs>
        <w:tab w:val="right" w:leader="dot" w:pos="8302"/>
      </w:tabs>
      <w:overflowPunct/>
      <w:autoSpaceDE/>
      <w:autoSpaceDN/>
      <w:adjustRightInd/>
      <w:spacing w:line="360" w:lineRule="auto"/>
      <w:ind w:left="200" w:leftChars="200"/>
      <w:textAlignment w:val="auto"/>
    </w:pPr>
    <w:rPr>
      <w:rFonts w:eastAsia="Times New Roman"/>
      <w:kern w:val="2"/>
      <w:lang w:val="en-US" w:eastAsia="zh-CN"/>
    </w:rPr>
  </w:style>
  <w:style w:type="paragraph" w:styleId="17">
    <w:name w:val="Title"/>
    <w:basedOn w:val="1"/>
    <w:next w:val="1"/>
    <w:link w:val="44"/>
    <w:qFormat/>
    <w:uiPriority w:val="0"/>
    <w:pPr>
      <w:spacing w:before="240" w:after="60"/>
      <w:jc w:val="center"/>
      <w:outlineLvl w:val="0"/>
    </w:pPr>
    <w:rPr>
      <w:rFonts w:ascii="Calibri Light" w:hAnsi="Calibri Light"/>
      <w:b/>
      <w:bCs/>
      <w:sz w:val="32"/>
      <w:szCs w:val="32"/>
    </w:rPr>
  </w:style>
  <w:style w:type="paragraph" w:styleId="18">
    <w:name w:val="annotation subject"/>
    <w:basedOn w:val="6"/>
    <w:next w:val="6"/>
    <w:semiHidden/>
    <w:qFormat/>
    <w:uiPriority w:val="0"/>
    <w:rPr>
      <w:b/>
      <w:bCs/>
    </w:rPr>
  </w:style>
  <w:style w:type="table" w:styleId="20">
    <w:name w:val="Table Grid"/>
    <w:basedOn w:val="19"/>
    <w:qFormat/>
    <w:uiPriority w:val="59"/>
    <w:pPr>
      <w:overflowPunct w:val="0"/>
      <w:autoSpaceDE w:val="0"/>
      <w:autoSpaceDN w:val="0"/>
      <w:adjustRightIn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qFormat/>
    <w:uiPriority w:val="99"/>
    <w:rPr>
      <w:color w:val="0000FF"/>
      <w:u w:val="single"/>
    </w:rPr>
  </w:style>
  <w:style w:type="character" w:styleId="24">
    <w:name w:val="annotation reference"/>
    <w:semiHidden/>
    <w:qFormat/>
    <w:uiPriority w:val="0"/>
    <w:rPr>
      <w:sz w:val="21"/>
      <w:szCs w:val="21"/>
    </w:rPr>
  </w:style>
  <w:style w:type="paragraph" w:customStyle="1" w:styleId="25">
    <w:name w:val="Table"/>
    <w:basedOn w:val="1"/>
    <w:qFormat/>
    <w:uiPriority w:val="0"/>
    <w:pPr>
      <w:keepLines/>
      <w:tabs>
        <w:tab w:val="left" w:pos="284"/>
      </w:tabs>
      <w:overflowPunct/>
      <w:autoSpaceDE/>
      <w:autoSpaceDN/>
      <w:adjustRightInd/>
      <w:spacing w:before="40" w:after="20"/>
      <w:textAlignment w:val="auto"/>
    </w:pPr>
    <w:rPr>
      <w:rFonts w:ascii="Arial" w:hAnsi="Arial"/>
      <w:sz w:val="20"/>
      <w:lang w:val="en-US"/>
    </w:rPr>
  </w:style>
  <w:style w:type="character" w:customStyle="1" w:styleId="26">
    <w:name w:val="页眉 Char"/>
    <w:link w:val="14"/>
    <w:qFormat/>
    <w:uiPriority w:val="99"/>
    <w:rPr>
      <w:rFonts w:eastAsia="宋体"/>
      <w:sz w:val="24"/>
      <w:lang w:val="en-GB" w:eastAsia="en-US" w:bidi="ar-SA"/>
    </w:rPr>
  </w:style>
  <w:style w:type="paragraph" w:customStyle="1" w:styleId="27">
    <w:name w:val="Default Text"/>
    <w:basedOn w:val="1"/>
    <w:qFormat/>
    <w:uiPriority w:val="0"/>
    <w:pPr>
      <w:overflowPunct/>
      <w:textAlignment w:val="auto"/>
    </w:pPr>
    <w:rPr>
      <w:rFonts w:ascii="Arial" w:hAnsi="Arial"/>
      <w:szCs w:val="24"/>
      <w:lang w:val="en-US"/>
    </w:rPr>
  </w:style>
  <w:style w:type="paragraph" w:customStyle="1" w:styleId="28">
    <w:name w:val="Style"/>
    <w:basedOn w:val="1"/>
    <w:qFormat/>
    <w:uiPriority w:val="0"/>
    <w:pPr>
      <w:overflowPunct/>
      <w:textAlignment w:val="auto"/>
    </w:pPr>
    <w:rPr>
      <w:rFonts w:ascii="Arial" w:hAnsi="Arial"/>
      <w:szCs w:val="24"/>
      <w:lang w:val="en-US"/>
    </w:rPr>
  </w:style>
  <w:style w:type="paragraph" w:customStyle="1" w:styleId="29">
    <w:name w:val="正文1"/>
    <w:basedOn w:val="1"/>
    <w:qFormat/>
    <w:uiPriority w:val="0"/>
    <w:pPr>
      <w:overflowPunct/>
      <w:textAlignment w:val="auto"/>
    </w:pPr>
    <w:rPr>
      <w:rFonts w:ascii="Arial" w:hAnsi="Arial"/>
      <w:sz w:val="20"/>
      <w:lang w:val="en-US"/>
    </w:rPr>
  </w:style>
  <w:style w:type="paragraph" w:customStyle="1" w:styleId="30">
    <w:name w:val="修订1"/>
    <w:hidden/>
    <w:semiHidden/>
    <w:qFormat/>
    <w:uiPriority w:val="99"/>
    <w:rPr>
      <w:rFonts w:ascii="Times New Roman" w:hAnsi="Times New Roman" w:eastAsia="宋体" w:cs="Times New Roman"/>
      <w:sz w:val="24"/>
      <w:lang w:val="en-GB" w:eastAsia="en-US" w:bidi="ar-SA"/>
    </w:rPr>
  </w:style>
  <w:style w:type="paragraph" w:styleId="31">
    <w:name w:val="List Paragraph"/>
    <w:basedOn w:val="1"/>
    <w:qFormat/>
    <w:uiPriority w:val="99"/>
    <w:pPr>
      <w:widowControl w:val="0"/>
      <w:overflowPunct/>
      <w:autoSpaceDE/>
      <w:autoSpaceDN/>
      <w:adjustRightInd/>
      <w:ind w:firstLine="420" w:firstLineChars="200"/>
      <w:jc w:val="both"/>
      <w:textAlignment w:val="auto"/>
    </w:pPr>
    <w:rPr>
      <w:rFonts w:ascii="Calibri" w:hAnsi="Calibri"/>
      <w:kern w:val="2"/>
      <w:szCs w:val="22"/>
      <w:lang w:val="en-US" w:eastAsia="zh-CN"/>
    </w:rPr>
  </w:style>
  <w:style w:type="character" w:customStyle="1" w:styleId="32">
    <w:name w:val="批注文字 Char"/>
    <w:link w:val="6"/>
    <w:semiHidden/>
    <w:qFormat/>
    <w:uiPriority w:val="0"/>
    <w:rPr>
      <w:sz w:val="24"/>
      <w:lang w:val="en-GB" w:eastAsia="en-US"/>
    </w:rPr>
  </w:style>
  <w:style w:type="paragraph" w:customStyle="1" w:styleId="33">
    <w:name w:val="TOC 标题1"/>
    <w:basedOn w:val="2"/>
    <w:next w:val="1"/>
    <w:qFormat/>
    <w:uiPriority w:val="39"/>
    <w:pPr>
      <w:numPr>
        <w:numId w:val="0"/>
      </w:numPr>
      <w:outlineLvl w:val="9"/>
    </w:pPr>
  </w:style>
  <w:style w:type="character" w:customStyle="1" w:styleId="34">
    <w:name w:val="页脚 Char"/>
    <w:link w:val="13"/>
    <w:qFormat/>
    <w:uiPriority w:val="99"/>
    <w:rPr>
      <w:sz w:val="24"/>
      <w:lang w:val="en-GB" w:eastAsia="en-US"/>
    </w:rPr>
  </w:style>
  <w:style w:type="character" w:customStyle="1" w:styleId="35">
    <w:name w:val="instruction standard blue"/>
    <w:qFormat/>
    <w:uiPriority w:val="1"/>
    <w:rPr>
      <w:rFonts w:cs="Arial"/>
      <w:i/>
      <w:color w:val="0070C0"/>
    </w:rPr>
  </w:style>
  <w:style w:type="character" w:customStyle="1" w:styleId="36">
    <w:name w:val="keyword"/>
    <w:basedOn w:val="21"/>
    <w:qFormat/>
    <w:uiPriority w:val="0"/>
  </w:style>
  <w:style w:type="paragraph" w:customStyle="1" w:styleId="37">
    <w:name w:val="numbering blue"/>
    <w:basedOn w:val="1"/>
    <w:link w:val="38"/>
    <w:qFormat/>
    <w:uiPriority w:val="99"/>
    <w:pPr>
      <w:numPr>
        <w:ilvl w:val="0"/>
        <w:numId w:val="2"/>
      </w:numPr>
      <w:overflowPunct/>
      <w:autoSpaceDE/>
      <w:autoSpaceDN/>
      <w:adjustRightInd/>
      <w:spacing w:after="120"/>
      <w:ind w:left="357" w:hanging="357"/>
      <w:contextualSpacing/>
      <w:textAlignment w:val="auto"/>
    </w:pPr>
    <w:rPr>
      <w:rFonts w:ascii="Arial" w:hAnsi="Arial" w:eastAsia="PMingLiU"/>
      <w:color w:val="0070C0"/>
      <w:sz w:val="20"/>
      <w:lang w:eastAsia="zh-TW"/>
    </w:rPr>
  </w:style>
  <w:style w:type="character" w:customStyle="1" w:styleId="38">
    <w:name w:val="numbering blue Zchn"/>
    <w:link w:val="37"/>
    <w:qFormat/>
    <w:uiPriority w:val="0"/>
    <w:rPr>
      <w:rFonts w:ascii="Arial" w:hAnsi="Arial" w:eastAsia="PMingLiU"/>
      <w:color w:val="0070C0"/>
      <w:lang w:eastAsia="zh-TW"/>
    </w:rPr>
  </w:style>
  <w:style w:type="paragraph" w:customStyle="1" w:styleId="39">
    <w:name w:val="Default"/>
    <w:qFormat/>
    <w:uiPriority w:val="0"/>
    <w:pPr>
      <w:widowControl w:val="0"/>
      <w:autoSpaceDE w:val="0"/>
      <w:autoSpaceDN w:val="0"/>
    </w:pPr>
    <w:rPr>
      <w:rFonts w:hint="eastAsia" w:ascii="Arial" w:hAnsi="Arial" w:eastAsia="宋体" w:cs="Times New Roman"/>
      <w:color w:val="000000"/>
      <w:sz w:val="24"/>
      <w:lang w:val="en-US" w:eastAsia="zh-CN" w:bidi="ar-SA"/>
    </w:rPr>
  </w:style>
  <w:style w:type="character" w:customStyle="1" w:styleId="40">
    <w:name w:val="Text Char"/>
    <w:link w:val="41"/>
    <w:qFormat/>
    <w:locked/>
    <w:uiPriority w:val="99"/>
    <w:rPr>
      <w:sz w:val="24"/>
      <w:lang w:eastAsia="en-US"/>
    </w:rPr>
  </w:style>
  <w:style w:type="paragraph" w:customStyle="1" w:styleId="41">
    <w:name w:val="Text"/>
    <w:basedOn w:val="1"/>
    <w:link w:val="40"/>
    <w:qFormat/>
    <w:uiPriority w:val="99"/>
    <w:pPr>
      <w:overflowPunct/>
      <w:autoSpaceDE/>
      <w:autoSpaceDN/>
      <w:adjustRightInd/>
      <w:spacing w:before="120"/>
      <w:jc w:val="both"/>
      <w:textAlignment w:val="auto"/>
    </w:pPr>
    <w:rPr>
      <w:lang w:val="en-US"/>
    </w:rPr>
  </w:style>
  <w:style w:type="character" w:customStyle="1" w:styleId="42">
    <w:name w:val="ordinary-span-edit2"/>
    <w:qFormat/>
    <w:uiPriority w:val="0"/>
  </w:style>
  <w:style w:type="character" w:customStyle="1" w:styleId="43">
    <w:name w:val="apple-converted-space"/>
    <w:basedOn w:val="21"/>
    <w:qFormat/>
    <w:uiPriority w:val="0"/>
  </w:style>
  <w:style w:type="character" w:customStyle="1" w:styleId="44">
    <w:name w:val="标题 Char"/>
    <w:link w:val="17"/>
    <w:qFormat/>
    <w:uiPriority w:val="0"/>
    <w:rPr>
      <w:rFonts w:ascii="Calibri Light" w:hAnsi="Calibri Light" w:cs="Times New Roman"/>
      <w:b/>
      <w:bCs/>
      <w:sz w:val="32"/>
      <w:szCs w:val="32"/>
      <w:lang w:val="en-GB" w:eastAsia="en-US"/>
    </w:rPr>
  </w:style>
  <w:style w:type="paragraph" w:customStyle="1" w:styleId="45">
    <w:name w:val="Table text"/>
    <w:basedOn w:val="1"/>
    <w:qFormat/>
    <w:uiPriority w:val="0"/>
    <w:pPr>
      <w:overflowPunct/>
      <w:autoSpaceDE/>
      <w:autoSpaceDN/>
      <w:adjustRightInd/>
      <w:spacing w:before="120" w:after="120"/>
      <w:jc w:val="both"/>
      <w:textAlignment w:val="auto"/>
    </w:pPr>
    <w:rPr>
      <w:lang w:val="en-US"/>
    </w:rPr>
  </w:style>
  <w:style w:type="character" w:customStyle="1" w:styleId="46">
    <w:name w:val="Footer Char"/>
    <w:basedOn w:val="21"/>
    <w:semiHidden/>
    <w:qFormat/>
    <w:locked/>
    <w:uiPriority w:val="0"/>
    <w:rPr>
      <w:rFonts w:cs="Times New Roman"/>
      <w:sz w:val="18"/>
      <w:szCs w:val="18"/>
    </w:rPr>
  </w:style>
  <w:style w:type="character" w:customStyle="1" w:styleId="47">
    <w:name w:val="正文文本 3 Char"/>
    <w:link w:val="7"/>
    <w:qFormat/>
    <w:locked/>
    <w:uiPriority w:val="99"/>
    <w:rPr>
      <w:sz w:val="16"/>
      <w:szCs w:val="16"/>
      <w:lang w:val="en-GB"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59DC59-34B4-4A30-9774-08B2763D623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1980</Words>
  <Characters>11292</Characters>
  <Lines>94</Lines>
  <Paragraphs>26</Paragraphs>
  <TotalTime>14</TotalTime>
  <ScaleCrop>false</ScaleCrop>
  <LinksUpToDate>false</LinksUpToDate>
  <CharactersWithSpaces>13246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2018-12-24T07:58:00Z</dcterms:created>
  <dc:creator>Lilly</dc:creator>
  <cp:lastModifiedBy>汪洋</cp:lastModifiedBy>
  <cp:lastPrinted>2022-01-04T01:29:00Z</cp:lastPrinted>
  <dcterms:modified xsi:type="dcterms:W3CDTF">2022-05-31T06:39:20Z</dcterms:modified>
  <dc:title>生效期：</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013D6B1CB3CA432AB7EEC3C374E1A781</vt:lpwstr>
  </property>
</Properties>
</file>