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227223"/>
      <w:bookmarkStart w:id="1" w:name="_Toc482717189"/>
      <w:bookmarkStart w:id="2" w:name="_Toc484532399"/>
      <w:bookmarkStart w:id="3" w:name="_Toc483666358"/>
      <w:bookmarkStart w:id="4" w:name="_Toc483400307"/>
    </w:p>
    <w:p>
      <w:pPr>
        <w:spacing w:after="158" w:afterLines="50"/>
        <w:jc w:val="center"/>
        <w:rPr>
          <w:b/>
          <w:szCs w:val="21"/>
          <w:lang w:eastAsia="zh-CN"/>
        </w:rPr>
      </w:pPr>
      <w:permStart w:id="0" w:edGrp="everyone"/>
      <w:r>
        <w:rPr>
          <w:rFonts w:hint="eastAsia"/>
          <w:b/>
          <w:sz w:val="28"/>
          <w:szCs w:val="28"/>
          <w:lang w:eastAsia="zh-CN"/>
        </w:rPr>
        <w:t>细胞工厂平衡架</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rPr>
          <w:i/>
          <w:color w:val="00B0F0"/>
          <w:lang w:val="zh-CN" w:eastAsia="zh-CN"/>
        </w:rPr>
      </w:pPr>
      <w:permStart w:id="2" w:edGrp="everyone"/>
    </w:p>
    <w:p>
      <w:pPr>
        <w:pStyle w:val="15"/>
        <w:rPr>
          <w:b w:val="0"/>
          <w:bCs w:val="0"/>
          <w:caps w:val="0"/>
          <w:szCs w:val="22"/>
        </w:rPr>
      </w:pPr>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6</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9</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716115"/>
      <w:bookmarkStart w:id="6" w:name="_Toc52210773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370757"/>
      <w:bookmarkStart w:id="8" w:name="_Toc482625279"/>
      <w:bookmarkStart w:id="9" w:name="_Toc482370061"/>
      <w:bookmarkStart w:id="10" w:name="_Toc482369805"/>
      <w:bookmarkStart w:id="11" w:name="_Toc482370349"/>
      <w:bookmarkStart w:id="12" w:name="_Toc481702475"/>
      <w:bookmarkStart w:id="13" w:name="_Toc482370141"/>
      <w:bookmarkStart w:id="14" w:name="_Toc482359936"/>
      <w:bookmarkStart w:id="15" w:name="_Toc482360281"/>
      <w:r>
        <w:rPr>
          <w:szCs w:val="21"/>
          <w:lang w:eastAsia="zh-CN"/>
        </w:rPr>
        <w:t>本文件的目的是描述武汉生物制品研究所有限责任公司</w:t>
      </w:r>
      <w:permStart w:id="3" w:edGrp="everyone"/>
      <w:r>
        <w:rPr>
          <w:rFonts w:hint="eastAsia"/>
          <w:szCs w:val="21"/>
          <w:lang w:eastAsia="zh-CN"/>
        </w:rPr>
        <w:t>细胞工厂平衡架</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细胞工厂平衡架</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107737"/>
      <w:bookmarkStart w:id="19" w:name="_Toc52271611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themeColor="text1"/>
          <w:szCs w:val="21"/>
          <w:lang w:eastAsia="zh-CN"/>
          <w14:textFill>
            <w14:solidFill>
              <w14:schemeClr w14:val="tx1"/>
            </w14:solidFill>
          </w14:textFill>
        </w:rPr>
      </w:pPr>
      <w:permStart w:id="5" w:edGrp="everyone"/>
      <w:r>
        <w:rPr>
          <w:color w:val="000000" w:themeColor="text1"/>
          <w:szCs w:val="21"/>
          <w:lang w:eastAsia="zh-CN"/>
          <w14:textFill>
            <w14:solidFill>
              <w14:schemeClr w14:val="tx1"/>
            </w14:solidFill>
          </w14:textFill>
        </w:rPr>
        <w:t>中国药典</w:t>
      </w:r>
      <w:r>
        <w:rPr>
          <w:color w:val="000000" w:themeColor="text1"/>
          <w:szCs w:val="21"/>
          <w14:textFill>
            <w14:solidFill>
              <w14:schemeClr w14:val="tx1"/>
            </w14:solidFill>
          </w14:textFill>
        </w:rPr>
        <w:t>2020年版</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color w:val="000000" w:themeColor="text1"/>
          <w:szCs w:val="21"/>
          <w:lang w:eastAsia="zh-CN"/>
          <w14:textFill>
            <w14:solidFill>
              <w14:schemeClr w14:val="tx1"/>
            </w14:solidFill>
          </w14:textFill>
        </w:rPr>
      </w:pPr>
      <w:permStart w:id="6" w:edGrp="everyone"/>
      <w:r>
        <w:rPr>
          <w:rFonts w:hint="eastAsia"/>
          <w:color w:val="000000" w:themeColor="text1"/>
          <w:szCs w:val="21"/>
          <w:lang w:eastAsia="zh-CN"/>
          <w14:textFill>
            <w14:solidFill>
              <w14:schemeClr w14:val="tx1"/>
            </w14:solidFill>
          </w14:textFill>
        </w:rPr>
        <w:t>N</w:t>
      </w:r>
      <w:r>
        <w:rPr>
          <w:color w:val="000000" w:themeColor="text1"/>
          <w:szCs w:val="21"/>
          <w:lang w:eastAsia="zh-CN"/>
          <w14:textFill>
            <w14:solidFill>
              <w14:schemeClr w14:val="tx1"/>
            </w14:solidFill>
          </w14:textFill>
        </w:rPr>
        <w:t>/A</w:t>
      </w:r>
    </w:p>
    <w:permEnd w:id="6"/>
    <w:p>
      <w:pPr>
        <w:pStyle w:val="41"/>
        <w:spacing w:before="0" w:line="360" w:lineRule="auto"/>
        <w:ind w:left="357"/>
        <w:jc w:val="left"/>
        <w:rPr>
          <w:i/>
          <w:szCs w:val="21"/>
          <w:lang w:eastAsia="zh-CN"/>
        </w:rPr>
      </w:pPr>
    </w:p>
    <w:p>
      <w:pPr>
        <w:pStyle w:val="31"/>
        <w:numPr>
          <w:ilvl w:val="0"/>
          <w:numId w:val="3"/>
        </w:numPr>
        <w:spacing w:after="158" w:afterLines="50"/>
        <w:ind w:left="426" w:hanging="426" w:hangingChars="202"/>
        <w:outlineLvl w:val="0"/>
        <w:rPr>
          <w:rFonts w:ascii="Times New Roman" w:hAnsi="Times New Roman"/>
          <w:b/>
        </w:rPr>
      </w:pPr>
      <w:permStart w:id="7" w:edGrp="everyone"/>
      <w:permEnd w:id="7"/>
      <w:bookmarkStart w:id="20" w:name="_Toc522716119"/>
      <w:bookmarkStart w:id="21" w:name="_Toc522107739"/>
      <w:r>
        <w:rPr>
          <w:rFonts w:ascii="Times New Roman" w:hAnsi="Times New Roman"/>
          <w:b/>
        </w:rPr>
        <w:t>系统描述</w:t>
      </w:r>
      <w:bookmarkEnd w:id="20"/>
      <w:bookmarkEnd w:id="21"/>
    </w:p>
    <w:p>
      <w:pPr>
        <w:pStyle w:val="41"/>
        <w:spacing w:before="0" w:line="360" w:lineRule="auto"/>
        <w:ind w:left="357"/>
        <w:jc w:val="left"/>
        <w:rPr>
          <w:i/>
          <w:color w:val="4472C4"/>
          <w:szCs w:val="21"/>
          <w:lang w:eastAsia="zh-CN"/>
        </w:rPr>
      </w:pPr>
      <w:permStart w:id="8" w:edGrp="everyone"/>
      <w:r>
        <w:rPr>
          <w:rFonts w:hint="eastAsia" w:ascii="Arial" w:hAnsi="Arial" w:cs="Arial"/>
          <w:color w:val="434343"/>
          <w:szCs w:val="21"/>
          <w:shd w:val="clear" w:color="auto" w:fill="FCFCFE"/>
          <w:lang w:eastAsia="zh-CN"/>
        </w:rPr>
        <w:t>在</w:t>
      </w:r>
      <w:r>
        <w:rPr>
          <w:rFonts w:hint="eastAsia"/>
          <w:lang w:eastAsia="zh-CN"/>
        </w:rPr>
        <w:t>口服六价重配轮状病毒活疫苗（Vero细胞）</w:t>
      </w:r>
      <w:r>
        <w:rPr>
          <w:rFonts w:hint="eastAsia" w:ascii="Arial" w:hAnsi="Arial" w:cs="Arial"/>
          <w:color w:val="434343"/>
          <w:szCs w:val="21"/>
          <w:shd w:val="clear" w:color="auto" w:fill="FCFCFE"/>
          <w:lang w:eastAsia="zh-CN"/>
        </w:rPr>
        <w:t>的生产过程中，细胞培养和病毒培养时，为使培养液水平与培养面水平一致，需使用细胞工厂平衡架来调节四十层细胞工厂的局部水平程度，保证四十层细胞工厂的培养液均匀覆盖每层的培养面，共需8</w:t>
      </w:r>
      <w:r>
        <w:rPr>
          <w:rFonts w:ascii="Arial" w:hAnsi="Arial" w:cs="Arial"/>
          <w:color w:val="434343"/>
          <w:szCs w:val="21"/>
          <w:shd w:val="clear" w:color="auto" w:fill="FCFCFE"/>
          <w:lang w:eastAsia="zh-CN"/>
        </w:rPr>
        <w:t>6</w:t>
      </w:r>
      <w:r>
        <w:rPr>
          <w:rFonts w:hint="eastAsia" w:ascii="Arial" w:hAnsi="Arial" w:cs="Arial"/>
          <w:color w:val="434343"/>
          <w:szCs w:val="21"/>
          <w:shd w:val="clear" w:color="auto" w:fill="FCFCFE"/>
          <w:lang w:eastAsia="zh-CN"/>
        </w:rPr>
        <w:t>台。</w:t>
      </w:r>
      <w:permEnd w:id="8"/>
    </w:p>
    <w:p>
      <w:pPr>
        <w:pStyle w:val="31"/>
        <w:numPr>
          <w:ilvl w:val="0"/>
          <w:numId w:val="3"/>
        </w:numPr>
        <w:spacing w:after="158" w:afterLines="50"/>
        <w:ind w:left="426" w:hanging="426" w:hangingChars="202"/>
        <w:outlineLvl w:val="0"/>
        <w:rPr>
          <w:rFonts w:ascii="Times New Roman" w:hAnsi="Times New Roman"/>
          <w:b/>
          <w:szCs w:val="21"/>
        </w:rPr>
      </w:pPr>
      <w:bookmarkStart w:id="22" w:name="_Toc522716120"/>
      <w:r>
        <w:rPr>
          <w:rFonts w:ascii="Times New Roman" w:hAnsi="Times New Roman"/>
          <w:b/>
          <w:szCs w:val="21"/>
        </w:rPr>
        <w:t>安装要求</w:t>
      </w:r>
      <w:bookmarkEnd w:id="22"/>
      <w:bookmarkStart w:id="47" w:name="_GoBack"/>
      <w:bookmarkEnd w:id="47"/>
    </w:p>
    <w:p>
      <w:pPr>
        <w:pStyle w:val="31"/>
        <w:spacing w:after="158" w:afterLines="50"/>
        <w:ind w:left="425" w:firstLine="0" w:firstLineChars="0"/>
        <w:rPr>
          <w:rFonts w:ascii="Times New Roman" w:hAnsi="Times New Roman"/>
          <w:szCs w:val="21"/>
        </w:rPr>
      </w:pPr>
      <w:permStart w:id="9" w:edGrp="everyone"/>
      <w:r>
        <w:rPr>
          <w:rFonts w:hint="eastAsia" w:ascii="Times New Roman" w:hAnsi="Times New Roman"/>
          <w:szCs w:val="21"/>
        </w:rPr>
        <w:t>细胞工厂平衡架整体稳定立于地面，细胞工厂平衡架上表面水平且能与细胞工厂小车进行对接，承接细胞工厂小车架 。</w:t>
      </w:r>
      <w:permEnd w:id="9"/>
    </w:p>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bookmarkStart w:id="23" w:name="OLE_LINK1"/>
            <w:bookmarkStart w:id="24" w:name="OLE_LINK2"/>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0" w:edGrp="everyone"/>
          </w:p>
        </w:tc>
        <w:tc>
          <w:tcPr>
            <w:tcW w:w="6970" w:type="dxa"/>
            <w:shd w:val="clear" w:color="auto" w:fill="auto"/>
            <w:vAlign w:val="center"/>
          </w:tcPr>
          <w:p>
            <w:pPr>
              <w:jc w:val="both"/>
              <w:rPr>
                <w:szCs w:val="21"/>
                <w:lang w:eastAsia="zh-CN"/>
              </w:rPr>
            </w:pPr>
            <w:r>
              <w:rPr>
                <w:rFonts w:hint="eastAsia"/>
                <w:szCs w:val="21"/>
                <w:lang w:eastAsia="zh-CN"/>
              </w:rPr>
              <w:t>轮状病毒疫苗楼原液车间细胞培养间，轮状病毒疫苗楼原液车间病毒培养间</w:t>
            </w:r>
          </w:p>
        </w:tc>
        <w:tc>
          <w:tcPr>
            <w:tcW w:w="2082" w:type="dxa"/>
            <w:shd w:val="clear" w:color="auto" w:fill="auto"/>
            <w:vAlign w:val="center"/>
          </w:tcPr>
          <w:p>
            <w:pPr>
              <w:jc w:val="center"/>
              <w:rPr>
                <w:color w:val="0070C0"/>
                <w:szCs w:val="21"/>
                <w:lang w:eastAsia="zh-CN"/>
              </w:rPr>
            </w:pPr>
            <w:r>
              <w:rPr>
                <w:rFonts w:hint="eastAsia"/>
                <w:szCs w:val="21"/>
                <w:lang w:eastAsia="zh-CN"/>
              </w:rPr>
              <w:t>重要</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1" w:edGrp="everyone"/>
          </w:p>
        </w:tc>
        <w:tc>
          <w:tcPr>
            <w:tcW w:w="6970" w:type="dxa"/>
            <w:shd w:val="clear" w:color="auto" w:fill="auto"/>
            <w:vAlign w:val="center"/>
          </w:tcPr>
          <w:p>
            <w:pPr>
              <w:jc w:val="both"/>
              <w:rPr>
                <w:iCs/>
                <w:szCs w:val="21"/>
                <w:lang w:eastAsia="zh-CN"/>
              </w:rPr>
            </w:pPr>
            <w:r>
              <w:rPr>
                <w:rFonts w:hint="eastAsia"/>
                <w:iCs/>
                <w:szCs w:val="21"/>
                <w:lang w:eastAsia="zh-CN"/>
              </w:rPr>
              <w:t>长</w:t>
            </w:r>
            <w:r>
              <w:rPr>
                <w:iCs/>
                <w:szCs w:val="21"/>
                <w:lang w:eastAsia="zh-CN"/>
              </w:rPr>
              <w:t xml:space="preserve"> </w:t>
            </w:r>
            <w:r>
              <w:rPr>
                <w:rFonts w:hint="eastAsia"/>
                <w:iCs/>
                <w:szCs w:val="21"/>
                <w:lang w:eastAsia="zh-CN"/>
              </w:rPr>
              <w:t>915mm*宽360mm*高70mm（不含调节脚）</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iCs/>
                <w:szCs w:val="21"/>
                <w:lang w:eastAsia="zh-CN"/>
              </w:rPr>
            </w:pPr>
            <w:r>
              <w:rPr>
                <w:rFonts w:hint="eastAsia"/>
                <w:iCs/>
                <w:szCs w:val="21"/>
                <w:lang w:eastAsia="zh-CN"/>
              </w:rPr>
              <w:t>调节脚：φ100*100 mm</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iCs/>
                <w:szCs w:val="21"/>
                <w:lang w:eastAsia="zh-CN"/>
              </w:rPr>
            </w:pPr>
            <w:r>
              <w:rPr>
                <w:rFonts w:hint="eastAsia"/>
                <w:iCs/>
                <w:szCs w:val="21"/>
                <w:lang w:eastAsia="zh-CN"/>
              </w:rPr>
              <w:t>调节脚固定套：φ100*50mm</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2" w:edGrp="everyone"/>
          </w:p>
        </w:tc>
        <w:tc>
          <w:tcPr>
            <w:tcW w:w="6970" w:type="dxa"/>
            <w:shd w:val="clear" w:color="auto" w:fill="auto"/>
            <w:vAlign w:val="center"/>
          </w:tcPr>
          <w:p>
            <w:pPr>
              <w:jc w:val="both"/>
              <w:rPr>
                <w:szCs w:val="21"/>
                <w:lang w:eastAsia="zh-CN"/>
              </w:rPr>
            </w:pPr>
            <w:r>
              <w:rPr>
                <w:szCs w:val="21"/>
                <w:lang w:eastAsia="zh-CN"/>
              </w:rPr>
              <w:t>设备的形式尺寸应符合制造商说明书及技术文件规定的要求。</w:t>
            </w:r>
          </w:p>
        </w:tc>
        <w:tc>
          <w:tcPr>
            <w:tcW w:w="2082" w:type="dxa"/>
            <w:shd w:val="clear" w:color="auto" w:fill="auto"/>
            <w:vAlign w:val="center"/>
          </w:tcPr>
          <w:p>
            <w:pPr>
              <w:jc w:val="center"/>
              <w:rPr>
                <w:szCs w:val="21"/>
                <w:lang w:eastAsia="zh-CN"/>
              </w:rPr>
            </w:pPr>
            <w:r>
              <w:rPr>
                <w:rFonts w:hint="eastAsia"/>
                <w:szCs w:val="21"/>
                <w:lang w:eastAsia="zh-CN"/>
              </w:rPr>
              <w:t>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Cs w:val="21"/>
                <w:lang w:eastAsia="zh-CN"/>
              </w:rPr>
            </w:pPr>
            <w:r>
              <w:rPr>
                <w:szCs w:val="21"/>
                <w:lang w:eastAsia="zh-CN"/>
              </w:rPr>
              <w:t>供应商必须给出设备选型方案及相应附件选型方案，并交给我公司使用部门及工程类部门审核。</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3" w:edGrp="everyone"/>
          </w:p>
        </w:tc>
        <w:tc>
          <w:tcPr>
            <w:tcW w:w="6970" w:type="dxa"/>
            <w:shd w:val="clear" w:color="auto" w:fill="auto"/>
            <w:vAlign w:val="center"/>
          </w:tcPr>
          <w:p>
            <w:pPr>
              <w:jc w:val="both"/>
              <w:rPr>
                <w:i/>
                <w:color w:val="0070C0"/>
                <w:szCs w:val="21"/>
                <w:lang w:val="en-US" w:eastAsia="zh-CN"/>
              </w:rPr>
            </w:pPr>
            <w:r>
              <w:rPr>
                <w:rFonts w:hint="eastAsia"/>
                <w:color w:val="000000"/>
                <w:lang w:eastAsia="zh-CN"/>
              </w:rPr>
              <w:t>N</w:t>
            </w:r>
            <w:r>
              <w:rPr>
                <w:color w:val="000000"/>
                <w:lang w:eastAsia="zh-CN"/>
              </w:rPr>
              <w:t>/A</w:t>
            </w:r>
          </w:p>
        </w:tc>
        <w:tc>
          <w:tcPr>
            <w:tcW w:w="2082" w:type="dxa"/>
            <w:shd w:val="clear" w:color="auto" w:fill="auto"/>
            <w:vAlign w:val="center"/>
          </w:tcPr>
          <w:p>
            <w:pPr>
              <w:jc w:val="center"/>
              <w:rPr>
                <w:szCs w:val="21"/>
                <w:lang w:eastAsia="zh-CN"/>
              </w:rPr>
            </w:pPr>
            <w:r>
              <w:rPr>
                <w:rFonts w:hint="eastAsia"/>
                <w:color w:val="000000"/>
                <w:lang w:eastAsia="zh-CN"/>
              </w:rPr>
              <w:t>N</w:t>
            </w:r>
            <w:r>
              <w:rPr>
                <w:color w:val="000000"/>
                <w:lang w:eastAsia="zh-CN"/>
              </w:rPr>
              <w:t>/A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4" w:edGrp="everyone"/>
          </w:p>
        </w:tc>
        <w:tc>
          <w:tcPr>
            <w:tcW w:w="6970" w:type="dxa"/>
            <w:shd w:val="clear" w:color="auto" w:fill="auto"/>
            <w:vAlign w:val="center"/>
          </w:tcPr>
          <w:p>
            <w:pPr>
              <w:jc w:val="both"/>
              <w:rPr>
                <w:rFonts w:ascii="宋体" w:hAnsi="宋体"/>
                <w:sz w:val="24"/>
                <w:szCs w:val="24"/>
                <w:lang w:eastAsia="zh-CN"/>
              </w:rPr>
            </w:pPr>
            <w:r>
              <w:rPr>
                <w:rFonts w:ascii="宋体" w:hAnsi="宋体"/>
                <w:sz w:val="24"/>
                <w:szCs w:val="24"/>
                <w:lang w:eastAsia="zh-CN"/>
              </w:rPr>
              <w:t>N/A</w:t>
            </w:r>
          </w:p>
        </w:tc>
        <w:tc>
          <w:tcPr>
            <w:tcW w:w="2082" w:type="dxa"/>
            <w:shd w:val="clear" w:color="auto" w:fill="auto"/>
            <w:vAlign w:val="center"/>
          </w:tcPr>
          <w:p>
            <w:pPr>
              <w:jc w:val="center"/>
              <w:rPr>
                <w:szCs w:val="21"/>
                <w:lang w:eastAsia="zh-CN"/>
              </w:rPr>
            </w:pPr>
            <w:r>
              <w:rPr>
                <w:szCs w:val="21"/>
                <w:lang w:eastAsia="zh-CN"/>
              </w:rPr>
              <w:t>N/A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ermStart w:id="15" w:edGrp="everyone"/>
            <w:permEnd w:id="15"/>
          </w:p>
        </w:tc>
        <w:tc>
          <w:tcPr>
            <w:tcW w:w="9052"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6" w:edGrp="everyone"/>
          </w:p>
        </w:tc>
        <w:tc>
          <w:tcPr>
            <w:tcW w:w="6970" w:type="dxa"/>
            <w:shd w:val="clear" w:color="auto" w:fill="auto"/>
            <w:vAlign w:val="center"/>
          </w:tcPr>
          <w:p>
            <w:pPr>
              <w:jc w:val="both"/>
              <w:rPr>
                <w:color w:val="000000"/>
                <w:lang w:eastAsia="zh-CN"/>
              </w:rPr>
            </w:pPr>
            <w:r>
              <w:rPr>
                <w:color w:val="000000"/>
                <w:lang w:eastAsia="zh-CN"/>
              </w:rPr>
              <w:t>工作环境温度：能适应18</w:t>
            </w:r>
            <w:r>
              <w:rPr>
                <w:rFonts w:hint="eastAsia"/>
                <w:color w:val="000000"/>
                <w:lang w:eastAsia="zh-CN"/>
              </w:rPr>
              <w:t>℃</w:t>
            </w:r>
            <w:r>
              <w:rPr>
                <w:color w:val="000000"/>
                <w:lang w:eastAsia="zh-CN"/>
              </w:rPr>
              <w:t>～39</w:t>
            </w:r>
            <w:r>
              <w:rPr>
                <w:rFonts w:hint="eastAsia"/>
                <w:color w:val="000000"/>
                <w:lang w:eastAsia="zh-CN"/>
              </w:rPr>
              <w:t>℃</w:t>
            </w:r>
            <w:r>
              <w:rPr>
                <w:color w:val="000000"/>
                <w:lang w:eastAsia="zh-CN"/>
              </w:rPr>
              <w:t xml:space="preserve">环境 </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7" w:edGrp="everyone"/>
          </w:p>
        </w:tc>
        <w:tc>
          <w:tcPr>
            <w:tcW w:w="6970" w:type="dxa"/>
            <w:shd w:val="clear" w:color="auto" w:fill="auto"/>
            <w:vAlign w:val="center"/>
          </w:tcPr>
          <w:p>
            <w:pPr>
              <w:jc w:val="both"/>
              <w:rPr>
                <w:szCs w:val="21"/>
                <w:lang w:eastAsia="zh-CN"/>
              </w:rPr>
            </w:pPr>
            <w:r>
              <w:rPr>
                <w:color w:val="000000"/>
                <w:lang w:eastAsia="zh-CN"/>
              </w:rPr>
              <w:t>工作环境湿度：至少包括45%～65%</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8" w:edGrp="everyone"/>
          </w:p>
        </w:tc>
        <w:tc>
          <w:tcPr>
            <w:tcW w:w="6970" w:type="dxa"/>
            <w:shd w:val="clear" w:color="auto" w:fill="auto"/>
            <w:vAlign w:val="center"/>
          </w:tcPr>
          <w:p>
            <w:pPr>
              <w:spacing w:line="276" w:lineRule="auto"/>
              <w:jc w:val="both"/>
              <w:rPr>
                <w:color w:val="000000"/>
                <w:lang w:eastAsia="zh-CN"/>
              </w:rPr>
            </w:pPr>
            <w:r>
              <w:rPr>
                <w:color w:val="000000"/>
                <w:lang w:eastAsia="zh-CN"/>
              </w:rPr>
              <w:t>工作环境洁净级别：</w:t>
            </w:r>
            <w:r>
              <w:rPr>
                <w:rFonts w:hint="eastAsia"/>
                <w:color w:val="000000"/>
                <w:lang w:eastAsia="zh-CN"/>
              </w:rPr>
              <w:t>C级</w:t>
            </w:r>
            <w:r>
              <w:rPr>
                <w:rFonts w:hint="eastAsia"/>
                <w:i/>
                <w:color w:val="0070C0"/>
                <w:lang w:eastAsia="zh-CN"/>
              </w:rPr>
              <w:t xml:space="preserve"> </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19" w:edGrp="everyone"/>
          </w:p>
        </w:tc>
        <w:tc>
          <w:tcPr>
            <w:tcW w:w="6970" w:type="dxa"/>
            <w:shd w:val="clear" w:color="auto" w:fill="auto"/>
            <w:vAlign w:val="center"/>
          </w:tcPr>
          <w:p>
            <w:pPr>
              <w:spacing w:line="276" w:lineRule="auto"/>
              <w:jc w:val="both"/>
              <w:rPr>
                <w:color w:val="000000"/>
                <w:lang w:eastAsia="zh-CN"/>
              </w:rPr>
            </w:pPr>
            <w:r>
              <w:rPr>
                <w:rFonts w:hint="eastAsia"/>
                <w:color w:val="000000"/>
                <w:lang w:eastAsia="zh-CN"/>
              </w:rPr>
              <w:t>N</w:t>
            </w:r>
            <w:r>
              <w:rPr>
                <w:color w:val="000000"/>
                <w:lang w:eastAsia="zh-CN"/>
              </w:rPr>
              <w:t>/A</w:t>
            </w:r>
          </w:p>
        </w:tc>
        <w:tc>
          <w:tcPr>
            <w:tcW w:w="2082" w:type="dxa"/>
            <w:shd w:val="clear" w:color="auto" w:fill="auto"/>
            <w:vAlign w:val="center"/>
          </w:tcPr>
          <w:p>
            <w:pPr>
              <w:jc w:val="center"/>
              <w:rPr>
                <w:szCs w:val="21"/>
                <w:lang w:eastAsia="zh-CN"/>
              </w:rPr>
            </w:pPr>
            <w:r>
              <w:rPr>
                <w:rFonts w:hint="eastAsia"/>
                <w:color w:val="000000"/>
                <w:lang w:eastAsia="zh-CN"/>
              </w:rPr>
              <w:t>N</w:t>
            </w:r>
            <w:r>
              <w:rPr>
                <w:color w:val="000000"/>
                <w:lang w:eastAsia="zh-CN"/>
              </w:rPr>
              <w:t>/A</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6"/>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0" w:edGrp="everyone"/>
          </w:p>
        </w:tc>
        <w:tc>
          <w:tcPr>
            <w:tcW w:w="6970" w:type="dxa"/>
            <w:shd w:val="clear" w:color="auto" w:fill="auto"/>
            <w:vAlign w:val="center"/>
          </w:tcPr>
          <w:p>
            <w:pPr>
              <w:jc w:val="both"/>
              <w:rPr>
                <w:iCs/>
                <w:color w:val="000000"/>
                <w:lang w:val="en-US" w:eastAsia="zh-CN"/>
              </w:rPr>
            </w:pPr>
            <w:r>
              <w:rPr>
                <w:rFonts w:hint="eastAsia"/>
                <w:iCs/>
                <w:color w:val="000000"/>
                <w:lang w:val="en-US" w:eastAsia="zh-CN"/>
              </w:rPr>
              <w:t>细胞工厂平衡架由316L或 316Ti精制不锈钢构成，坚固耐用，表面经过平滑磨光喷砂处理（RA＜1μm）。</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spacing w:line="276" w:lineRule="auto"/>
              <w:jc w:val="both"/>
              <w:rPr>
                <w:color w:val="000000"/>
                <w:lang w:eastAsia="zh-CN"/>
              </w:rPr>
            </w:pPr>
            <w:r>
              <w:rPr>
                <w:color w:val="000000"/>
                <w:lang w:eastAsia="zh-CN"/>
              </w:rPr>
              <w:t xml:space="preserve">标识：至少应有以下永久贴牢和清楚易认的标识： </w:t>
            </w:r>
          </w:p>
          <w:p>
            <w:pPr>
              <w:spacing w:line="276" w:lineRule="auto"/>
              <w:jc w:val="both"/>
              <w:rPr>
                <w:color w:val="000000"/>
                <w:lang w:eastAsia="zh-CN"/>
              </w:rPr>
            </w:pPr>
            <w:r>
              <w:rPr>
                <w:color w:val="000000"/>
                <w:lang w:eastAsia="zh-CN"/>
              </w:rPr>
              <w:t>（1）制造/供应单位；</w:t>
            </w:r>
          </w:p>
          <w:p>
            <w:pPr>
              <w:spacing w:line="276" w:lineRule="auto"/>
              <w:jc w:val="both"/>
              <w:rPr>
                <w:color w:val="000000"/>
                <w:lang w:eastAsia="zh-CN"/>
              </w:rPr>
            </w:pPr>
            <w:r>
              <w:rPr>
                <w:color w:val="000000"/>
                <w:lang w:eastAsia="zh-CN"/>
              </w:rPr>
              <w:t>（2）产品注册号；</w:t>
            </w:r>
          </w:p>
          <w:p>
            <w:pPr>
              <w:spacing w:line="276" w:lineRule="auto"/>
              <w:jc w:val="both"/>
              <w:rPr>
                <w:color w:val="000000"/>
                <w:lang w:eastAsia="zh-CN"/>
              </w:rPr>
            </w:pPr>
            <w:r>
              <w:rPr>
                <w:color w:val="000000"/>
                <w:lang w:eastAsia="zh-CN"/>
              </w:rPr>
              <w:t>（3）型号；</w:t>
            </w:r>
          </w:p>
          <w:p>
            <w:pPr>
              <w:spacing w:line="276" w:lineRule="auto"/>
              <w:jc w:val="both"/>
              <w:rPr>
                <w:color w:val="000000"/>
                <w:lang w:eastAsia="zh-CN"/>
              </w:rPr>
            </w:pPr>
            <w:r>
              <w:rPr>
                <w:color w:val="000000"/>
                <w:lang w:eastAsia="zh-CN"/>
              </w:rPr>
              <w:t>（4）生产日期或编号；</w:t>
            </w:r>
          </w:p>
          <w:p>
            <w:pPr>
              <w:jc w:val="both"/>
              <w:rPr>
                <w:color w:val="000000"/>
                <w:lang w:eastAsia="zh-CN"/>
              </w:rPr>
            </w:pPr>
            <w:r>
              <w:rPr>
                <w:color w:val="000000"/>
                <w:lang w:eastAsia="zh-CN"/>
              </w:rPr>
              <w:t>（5）对设备必要的说明；</w:t>
            </w:r>
          </w:p>
          <w:p>
            <w:pPr>
              <w:pStyle w:val="7"/>
              <w:spacing w:line="276" w:lineRule="auto"/>
              <w:rPr>
                <w:color w:val="0070C0"/>
                <w:sz w:val="21"/>
                <w:szCs w:val="21"/>
                <w:lang w:eastAsia="zh-CN"/>
              </w:rPr>
            </w:pPr>
            <w:r>
              <w:rPr>
                <w:color w:val="000000"/>
                <w:sz w:val="21"/>
                <w:szCs w:val="20"/>
                <w:lang w:eastAsia="zh-CN"/>
              </w:rPr>
              <w:t>（6）安全标识。</w:t>
            </w:r>
          </w:p>
        </w:tc>
        <w:tc>
          <w:tcPr>
            <w:tcW w:w="2082" w:type="dxa"/>
            <w:shd w:val="clear" w:color="auto" w:fill="auto"/>
            <w:vAlign w:val="center"/>
          </w:tcPr>
          <w:p>
            <w:pPr>
              <w:jc w:val="center"/>
              <w:rPr>
                <w:szCs w:val="21"/>
                <w:lang w:eastAsia="zh-CN"/>
              </w:rPr>
            </w:pPr>
            <w:r>
              <w:rPr>
                <w:rFonts w:hint="eastAsia"/>
                <w:szCs w:val="21"/>
                <w:lang w:eastAsia="zh-CN"/>
              </w:rPr>
              <w:t>重要</w:t>
            </w:r>
          </w:p>
        </w:tc>
      </w:tr>
      <w:bookmarkEnd w:id="23"/>
      <w:bookmarkEnd w:id="24"/>
      <w:permEnd w:id="20"/>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716121"/>
      <w:bookmarkStart w:id="26" w:name="_Toc522107740"/>
      <w:r>
        <w:rPr>
          <w:rFonts w:ascii="Times New Roman" w:hAnsi="Times New Roman"/>
          <w:b/>
        </w:rPr>
        <w:t>运行要求</w:t>
      </w:r>
      <w:bookmarkEnd w:id="25"/>
      <w:bookmarkEnd w:id="26"/>
    </w:p>
    <w:p>
      <w:pPr>
        <w:spacing w:after="158" w:afterLines="50"/>
        <w:rPr>
          <w:color w:val="000000"/>
          <w:szCs w:val="21"/>
          <w:lang w:eastAsia="zh-CN"/>
        </w:rPr>
      </w:pPr>
      <w:permStart w:id="21" w:edGrp="everyone"/>
      <w:r>
        <w:rPr>
          <w:rFonts w:hint="eastAsia"/>
          <w:color w:val="000000"/>
          <w:szCs w:val="21"/>
          <w:lang w:eastAsia="zh-CN"/>
        </w:rPr>
        <w:t>细胞工厂平衡架能与轮状病毒疫苗室现有的细胞工厂小车架子快速进行整合和分离，并且在推动中保证细胞工厂稳定的水平状态</w:t>
      </w:r>
    </w:p>
    <w:permEnd w:id="21"/>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2" w:edGrp="everyone"/>
          </w:p>
        </w:tc>
        <w:tc>
          <w:tcPr>
            <w:tcW w:w="6970" w:type="dxa"/>
            <w:shd w:val="clear" w:color="auto" w:fill="auto"/>
            <w:vAlign w:val="center"/>
          </w:tcPr>
          <w:p>
            <w:pPr>
              <w:jc w:val="both"/>
              <w:rPr>
                <w:color w:val="000000"/>
                <w:szCs w:val="21"/>
                <w:lang w:eastAsia="zh-CN"/>
              </w:rPr>
            </w:pPr>
            <w:r>
              <w:rPr>
                <w:rFonts w:hint="eastAsia"/>
                <w:color w:val="000000"/>
                <w:szCs w:val="21"/>
                <w:lang w:eastAsia="zh-CN"/>
              </w:rPr>
              <w:t>N</w:t>
            </w:r>
            <w:r>
              <w:rPr>
                <w:color w:val="000000"/>
                <w:szCs w:val="21"/>
                <w:lang w:eastAsia="zh-CN"/>
              </w:rPr>
              <w:t>/A</w:t>
            </w:r>
          </w:p>
        </w:tc>
        <w:tc>
          <w:tcPr>
            <w:tcW w:w="2082" w:type="dxa"/>
            <w:shd w:val="clear" w:color="auto" w:fill="auto"/>
            <w:vAlign w:val="center"/>
          </w:tcPr>
          <w:p>
            <w:pPr>
              <w:jc w:val="center"/>
              <w:rPr>
                <w:color w:val="000000"/>
                <w:szCs w:val="21"/>
                <w:lang w:eastAsia="zh-CN"/>
              </w:rPr>
            </w:pPr>
            <w:r>
              <w:rPr>
                <w:rFonts w:hint="eastAsia"/>
                <w:color w:val="000000"/>
                <w:szCs w:val="21"/>
                <w:lang w:eastAsia="zh-CN"/>
              </w:rPr>
              <w:t>N</w:t>
            </w:r>
            <w:r>
              <w:rPr>
                <w:color w:val="000000"/>
                <w:szCs w:val="21"/>
                <w:lang w:eastAsia="zh-CN"/>
              </w:rPr>
              <w:t>/A</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3" w:edGrp="everyone"/>
          </w:p>
        </w:tc>
        <w:tc>
          <w:tcPr>
            <w:tcW w:w="6970" w:type="dxa"/>
            <w:shd w:val="clear" w:color="auto" w:fill="auto"/>
            <w:vAlign w:val="center"/>
          </w:tcPr>
          <w:p>
            <w:pPr>
              <w:jc w:val="both"/>
              <w:rPr>
                <w:szCs w:val="21"/>
                <w:lang w:val="en-US" w:eastAsia="zh-CN"/>
              </w:rPr>
            </w:pPr>
            <w:r>
              <w:rPr>
                <w:rFonts w:hint="eastAsia"/>
                <w:color w:val="000000"/>
                <w:szCs w:val="21"/>
                <w:lang w:eastAsia="zh-CN"/>
              </w:rPr>
              <w:t>每台细胞工厂平衡架可放置4个四十层细胞工厂</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4" w:edGrp="everyone"/>
          </w:p>
        </w:tc>
        <w:tc>
          <w:tcPr>
            <w:tcW w:w="6970" w:type="dxa"/>
            <w:shd w:val="clear" w:color="auto" w:fill="auto"/>
            <w:vAlign w:val="center"/>
          </w:tcPr>
          <w:p>
            <w:pPr>
              <w:jc w:val="both"/>
              <w:rPr>
                <w:iCs/>
                <w:szCs w:val="21"/>
                <w:lang w:eastAsia="zh-CN"/>
              </w:rPr>
            </w:pPr>
            <w:r>
              <w:rPr>
                <w:rFonts w:hint="eastAsia"/>
                <w:color w:val="000000"/>
                <w:szCs w:val="21"/>
                <w:lang w:eastAsia="zh-CN"/>
              </w:rPr>
              <w:t>细胞工厂平衡架上方双滑道设计，能与轮状病毒疫苗室现有的细胞工厂小车架子，通过推动可轻松进行整合和分离。</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iCs/>
                <w:szCs w:val="21"/>
                <w:lang w:eastAsia="zh-CN"/>
              </w:rPr>
            </w:pPr>
            <w:r>
              <w:rPr>
                <w:rFonts w:hint="eastAsia"/>
                <w:szCs w:val="21"/>
                <w:lang w:val="en-US" w:eastAsia="zh-CN"/>
              </w:rPr>
              <w:t>细胞工厂平衡架下方带4个调节脚，调节脚中间带梅花形调节圆盘手柄，圆盘手柄光滑无毛刺，所有尖角倒钝处理。</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iCs/>
                <w:szCs w:val="21"/>
                <w:lang w:eastAsia="zh-CN"/>
              </w:rPr>
            </w:pPr>
            <w:r>
              <w:rPr>
                <w:rFonts w:hint="eastAsia"/>
                <w:szCs w:val="21"/>
                <w:lang w:val="en-US" w:eastAsia="zh-CN"/>
              </w:rPr>
              <w:t>调节脚下方有可固定的限位圆盘底座，当细胞工厂小车架子与细胞工厂平衡架整合或分离时，底托固定稳当，位移≤5mm。</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iCs/>
                <w:szCs w:val="21"/>
                <w:lang w:eastAsia="zh-CN"/>
              </w:rPr>
            </w:pPr>
            <w:r>
              <w:rPr>
                <w:rFonts w:hint="eastAsia"/>
                <w:iCs/>
                <w:szCs w:val="21"/>
                <w:lang w:eastAsia="zh-CN"/>
              </w:rPr>
              <w:t>细胞工厂平衡架带有固定细胞工厂小车架子的固定装置，防止架子滑出细胞工厂平衡架轨道外。无论细胞工厂小车架子与细胞工厂平衡架整合或分离时，固定装置都应操作简单方便。</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sz w:val="24"/>
                <w:lang w:eastAsia="zh-CN"/>
              </w:rPr>
            </w:pPr>
            <w:r>
              <w:rPr>
                <w:rFonts w:hint="eastAsia"/>
                <w:szCs w:val="21"/>
                <w:lang w:val="en-US" w:eastAsia="zh-CN"/>
              </w:rPr>
              <w:t>调节满载的细胞工厂平衡架时（细胞工厂小车架子和装有液体的细胞工厂），调节应轻松舒畅，调节高度不小于10mm。</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8"/>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5" w:edGrp="everyone"/>
          </w:p>
        </w:tc>
        <w:tc>
          <w:tcPr>
            <w:tcW w:w="6970" w:type="dxa"/>
            <w:shd w:val="clear" w:color="auto" w:fill="auto"/>
            <w:vAlign w:val="center"/>
          </w:tcPr>
          <w:p>
            <w:pPr>
              <w:tabs>
                <w:tab w:val="left" w:pos="1365"/>
              </w:tabs>
              <w:rPr>
                <w:szCs w:val="21"/>
                <w:lang w:val="en-US" w:eastAsia="zh-CN"/>
              </w:rPr>
            </w:pPr>
            <w:r>
              <w:rPr>
                <w:rFonts w:hint="eastAsia"/>
                <w:szCs w:val="21"/>
                <w:lang w:val="en-US" w:eastAsia="zh-CN"/>
              </w:rPr>
              <w:t>所提供的设备材质和结构设计，须确保易拆装、无死角、易清洁。</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tabs>
                <w:tab w:val="left" w:pos="1365"/>
              </w:tabs>
              <w:rPr>
                <w:szCs w:val="21"/>
                <w:lang w:val="en-US" w:eastAsia="zh-CN"/>
              </w:rPr>
            </w:pPr>
            <w:r>
              <w:rPr>
                <w:rFonts w:hint="eastAsia"/>
                <w:szCs w:val="21"/>
                <w:lang w:val="en-US" w:eastAsia="zh-CN"/>
              </w:rPr>
              <w:t>设备表面及内部便于清洁，不能有清洁死角和盲区。</w:t>
            </w:r>
          </w:p>
        </w:tc>
        <w:tc>
          <w:tcPr>
            <w:tcW w:w="2082"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tabs>
                <w:tab w:val="left" w:pos="1365"/>
              </w:tabs>
              <w:rPr>
                <w:szCs w:val="21"/>
                <w:lang w:val="en-US" w:eastAsia="zh-CN"/>
              </w:rPr>
            </w:pPr>
            <w:r>
              <w:rPr>
                <w:rFonts w:hint="eastAsia"/>
                <w:szCs w:val="21"/>
                <w:lang w:val="en-US" w:eastAsia="zh-CN"/>
              </w:rPr>
              <w:t>设备能耐受7ml/M</w:t>
            </w:r>
            <w:r>
              <w:rPr>
                <w:rFonts w:hint="eastAsia"/>
                <w:szCs w:val="21"/>
                <w:vertAlign w:val="superscript"/>
                <w:lang w:val="en-US" w:eastAsia="zh-CN"/>
              </w:rPr>
              <w:t>3</w:t>
            </w:r>
            <w:r>
              <w:rPr>
                <w:rFonts w:hint="eastAsia"/>
                <w:szCs w:val="21"/>
                <w:lang w:val="en-US" w:eastAsia="zh-CN"/>
              </w:rPr>
              <w:t>过氧化氢熏蒸消毒。</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25"/>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2370767"/>
      <w:bookmarkStart w:id="30" w:name="_Toc482370151"/>
      <w:bookmarkStart w:id="31" w:name="_Toc482359946"/>
      <w:bookmarkStart w:id="32" w:name="_Toc482625289"/>
      <w:bookmarkStart w:id="33" w:name="_Toc482370359"/>
      <w:bookmarkStart w:id="34" w:name="_Toc482717202"/>
      <w:bookmarkStart w:id="35" w:name="_Toc483227237"/>
      <w:bookmarkStart w:id="36" w:name="_Toc483400317"/>
      <w:bookmarkStart w:id="37" w:name="_Toc481702480"/>
      <w:bookmarkStart w:id="38" w:name="_Toc482370071"/>
      <w:bookmarkStart w:id="39" w:name="_Toc482360291"/>
      <w:bookmarkStart w:id="40" w:name="_Toc482369815"/>
      <w:r>
        <w:rPr>
          <w:rFonts w:ascii="Times New Roman" w:hAnsi="Times New Roman"/>
          <w:b/>
        </w:rPr>
        <w:t>电气、自动控制要求</w:t>
      </w:r>
      <w:bookmarkEnd w:id="27"/>
    </w:p>
    <w:p>
      <w:pPr>
        <w:pStyle w:val="41"/>
        <w:spacing w:before="0" w:line="360" w:lineRule="auto"/>
        <w:jc w:val="left"/>
        <w:rPr>
          <w:iCs/>
          <w:color w:val="000000" w:themeColor="text1"/>
          <w:szCs w:val="21"/>
          <w:lang w:eastAsia="zh-CN"/>
          <w14:textFill>
            <w14:solidFill>
              <w14:schemeClr w14:val="tx1"/>
            </w14:solidFill>
          </w14:textFill>
        </w:rPr>
      </w:pPr>
      <w:permStart w:id="26" w:edGrp="everyone"/>
      <w:r>
        <w:rPr>
          <w:iCs/>
          <w:color w:val="000000" w:themeColor="text1"/>
          <w:szCs w:val="21"/>
          <w:lang w:eastAsia="zh-CN"/>
          <w14:textFill>
            <w14:solidFill>
              <w14:schemeClr w14:val="tx1"/>
            </w14:solidFill>
          </w14:textFill>
        </w:rPr>
        <w:t>N/A</w:t>
      </w:r>
    </w:p>
    <w:permEnd w:id="26"/>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2"/>
                <w:numId w:val="9"/>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7" w:edGrp="everyone"/>
          </w:p>
        </w:tc>
        <w:tc>
          <w:tcPr>
            <w:tcW w:w="6970" w:type="dxa"/>
            <w:shd w:val="clear" w:color="auto" w:fill="auto"/>
            <w:vAlign w:val="center"/>
          </w:tcPr>
          <w:p>
            <w:pPr>
              <w:tabs>
                <w:tab w:val="left" w:pos="1365"/>
              </w:tabs>
              <w:rPr>
                <w:szCs w:val="21"/>
                <w:lang w:val="en-US" w:eastAsia="zh-CN"/>
              </w:rPr>
            </w:pPr>
            <w:r>
              <w:rPr>
                <w:rFonts w:hint="eastAsia"/>
                <w:szCs w:val="21"/>
                <w:lang w:val="en-US" w:eastAsia="zh-CN"/>
              </w:rPr>
              <w:t>N/A</w:t>
            </w:r>
          </w:p>
        </w:tc>
        <w:tc>
          <w:tcPr>
            <w:tcW w:w="2082" w:type="dxa"/>
            <w:shd w:val="clear" w:color="auto" w:fill="auto"/>
            <w:vAlign w:val="center"/>
          </w:tcPr>
          <w:p>
            <w:pPr>
              <w:jc w:val="center"/>
              <w:rPr>
                <w:szCs w:val="21"/>
                <w:lang w:eastAsia="zh-CN"/>
              </w:rPr>
            </w:pPr>
            <w:r>
              <w:rPr>
                <w:rFonts w:hint="eastAsia"/>
                <w:color w:val="000000"/>
                <w:lang w:eastAsia="zh-CN"/>
              </w:rPr>
              <w:t>N</w:t>
            </w:r>
            <w:r>
              <w:rPr>
                <w:color w:val="000000"/>
                <w:lang w:eastAsia="zh-CN"/>
              </w:rPr>
              <w:t>/A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2"/>
                <w:numId w:val="9"/>
              </w:numPr>
              <w:ind w:firstLineChars="0"/>
              <w:rPr>
                <w:rFonts w:ascii="Times New Roman" w:hAnsi="Times New Roman"/>
                <w:szCs w:val="21"/>
              </w:rPr>
            </w:pPr>
          </w:p>
        </w:tc>
        <w:tc>
          <w:tcPr>
            <w:tcW w:w="9052"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28" w:edGrp="everyone"/>
          </w:p>
        </w:tc>
        <w:tc>
          <w:tcPr>
            <w:tcW w:w="6970" w:type="dxa"/>
            <w:shd w:val="clear" w:color="auto" w:fill="auto"/>
            <w:vAlign w:val="center"/>
          </w:tcPr>
          <w:p>
            <w:pPr>
              <w:spacing w:line="276" w:lineRule="auto"/>
              <w:jc w:val="both"/>
              <w:rPr>
                <w:szCs w:val="21"/>
                <w:lang w:val="en-US" w:eastAsia="zh-CN"/>
              </w:rPr>
            </w:pPr>
            <w:r>
              <w:rPr>
                <w:rFonts w:hint="eastAsia"/>
                <w:szCs w:val="21"/>
                <w:lang w:val="en-US" w:eastAsia="zh-CN"/>
              </w:rPr>
              <w:t>N/A</w:t>
            </w:r>
          </w:p>
        </w:tc>
        <w:tc>
          <w:tcPr>
            <w:tcW w:w="2082" w:type="dxa"/>
            <w:shd w:val="clear" w:color="auto" w:fill="auto"/>
            <w:vAlign w:val="center"/>
          </w:tcPr>
          <w:p>
            <w:pPr>
              <w:jc w:val="center"/>
              <w:rPr>
                <w:szCs w:val="21"/>
                <w:lang w:eastAsia="zh-CN"/>
              </w:rPr>
            </w:pPr>
            <w:r>
              <w:rPr>
                <w:rFonts w:hint="eastAsia"/>
                <w:color w:val="000000"/>
                <w:lang w:eastAsia="zh-CN"/>
              </w:rPr>
              <w:t>N</w:t>
            </w:r>
            <w:r>
              <w:rPr>
                <w:color w:val="000000"/>
                <w:lang w:eastAsia="zh-CN"/>
              </w:rPr>
              <w:t>/A</w:t>
            </w:r>
          </w:p>
        </w:tc>
      </w:tr>
      <w:permEnd w:id="28"/>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p>
      <w:pPr>
        <w:pStyle w:val="41"/>
        <w:spacing w:before="0" w:line="360" w:lineRule="auto"/>
        <w:jc w:val="left"/>
        <w:rPr>
          <w:i/>
          <w:color w:val="4472C4"/>
          <w:szCs w:val="21"/>
          <w:lang w:eastAsia="zh-CN"/>
        </w:rPr>
      </w:pPr>
      <w:permStart w:id="29" w:edGrp="everyone"/>
    </w:p>
    <w:permEnd w:id="29"/>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0"/>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0" w:edGrp="everyone"/>
          </w:p>
        </w:tc>
        <w:tc>
          <w:tcPr>
            <w:tcW w:w="6970" w:type="dxa"/>
            <w:shd w:val="clear" w:color="auto" w:fill="auto"/>
            <w:vAlign w:val="center"/>
          </w:tcPr>
          <w:p>
            <w:pPr>
              <w:spacing w:line="360" w:lineRule="auto"/>
              <w:rPr>
                <w:szCs w:val="21"/>
                <w:lang w:val="en-US" w:eastAsia="zh-CN"/>
              </w:rPr>
            </w:pPr>
            <w:r>
              <w:rPr>
                <w:rFonts w:hint="eastAsia"/>
                <w:szCs w:val="21"/>
                <w:lang w:val="en-US" w:eastAsia="zh-CN"/>
              </w:rPr>
              <w:t>N/A</w:t>
            </w:r>
          </w:p>
        </w:tc>
        <w:tc>
          <w:tcPr>
            <w:tcW w:w="2082" w:type="dxa"/>
            <w:shd w:val="clear" w:color="auto" w:fill="auto"/>
            <w:vAlign w:val="center"/>
          </w:tcPr>
          <w:p>
            <w:pPr>
              <w:jc w:val="center"/>
              <w:rPr>
                <w:szCs w:val="21"/>
                <w:lang w:eastAsia="zh-CN"/>
              </w:rPr>
            </w:pPr>
            <w:r>
              <w:rPr>
                <w:rFonts w:hint="eastAsia"/>
                <w:color w:val="000000"/>
                <w:lang w:eastAsia="zh-CN"/>
              </w:rPr>
              <w:t>N</w:t>
            </w:r>
            <w:r>
              <w:rPr>
                <w:color w:val="000000"/>
                <w:lang w:eastAsia="zh-CN"/>
              </w:rPr>
              <w:t>/A</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0"/>
              </w:numPr>
              <w:ind w:firstLineChars="0"/>
              <w:rPr>
                <w:rFonts w:ascii="Times New Roman" w:hAnsi="Times New Roman"/>
                <w:szCs w:val="21"/>
              </w:rPr>
            </w:pPr>
            <w:permStart w:id="31" w:edGrp="everyone"/>
            <w:permEnd w:id="31"/>
          </w:p>
        </w:tc>
        <w:tc>
          <w:tcPr>
            <w:tcW w:w="6970" w:type="dxa"/>
            <w:shd w:val="clear" w:color="auto" w:fill="D9D9D9"/>
            <w:vAlign w:val="center"/>
          </w:tcPr>
          <w:p>
            <w:pPr>
              <w:jc w:val="both"/>
              <w:rPr>
                <w:szCs w:val="21"/>
                <w:lang w:eastAsia="zh-CN"/>
              </w:rPr>
            </w:pPr>
            <w:r>
              <w:rPr>
                <w:szCs w:val="21"/>
                <w:lang w:eastAsia="zh-CN"/>
              </w:rPr>
              <w:t>电气保护</w:t>
            </w:r>
          </w:p>
        </w:tc>
        <w:tc>
          <w:tcPr>
            <w:tcW w:w="2082"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2" w:edGrp="everyone"/>
          </w:p>
        </w:tc>
        <w:tc>
          <w:tcPr>
            <w:tcW w:w="6970" w:type="dxa"/>
            <w:shd w:val="clear" w:color="auto" w:fill="auto"/>
            <w:vAlign w:val="center"/>
          </w:tcPr>
          <w:p>
            <w:pPr>
              <w:jc w:val="both"/>
              <w:rPr>
                <w:szCs w:val="21"/>
                <w:lang w:val="en-US" w:eastAsia="zh-CN"/>
              </w:rPr>
            </w:pPr>
            <w:r>
              <w:rPr>
                <w:rFonts w:hint="eastAsia"/>
                <w:szCs w:val="21"/>
                <w:lang w:val="en-US" w:eastAsia="zh-CN"/>
              </w:rPr>
              <w:t>N/A</w:t>
            </w:r>
          </w:p>
        </w:tc>
        <w:tc>
          <w:tcPr>
            <w:tcW w:w="2082" w:type="dxa"/>
            <w:shd w:val="clear" w:color="auto" w:fill="auto"/>
            <w:vAlign w:val="center"/>
          </w:tcPr>
          <w:p>
            <w:pPr>
              <w:jc w:val="center"/>
              <w:rPr>
                <w:szCs w:val="21"/>
                <w:lang w:eastAsia="zh-CN"/>
              </w:rPr>
            </w:pPr>
            <w:r>
              <w:rPr>
                <w:rFonts w:hint="eastAsia"/>
                <w:color w:val="000000"/>
                <w:lang w:eastAsia="zh-CN"/>
              </w:rPr>
              <w:t>N</w:t>
            </w:r>
            <w:r>
              <w:rPr>
                <w:color w:val="000000"/>
                <w:lang w:eastAsia="zh-CN"/>
              </w:rPr>
              <w:t>/A</w:t>
            </w:r>
          </w:p>
        </w:tc>
      </w:tr>
      <w:permEnd w:id="32"/>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4"/>
      <w:bookmarkStart w:id="43" w:name="_Toc522107743"/>
      <w:r>
        <w:rPr>
          <w:rFonts w:ascii="Times New Roman" w:hAnsi="Times New Roman"/>
          <w:b/>
        </w:rPr>
        <w:t>文件要求</w:t>
      </w:r>
      <w:bookmarkEnd w:id="42"/>
      <w:bookmarkEnd w:id="43"/>
    </w:p>
    <w:p>
      <w:pPr>
        <w:pStyle w:val="41"/>
        <w:spacing w:before="0" w:line="360" w:lineRule="auto"/>
        <w:jc w:val="left"/>
        <w:rPr>
          <w:i/>
          <w:szCs w:val="21"/>
          <w:lang w:eastAsia="zh-CN"/>
        </w:rPr>
      </w:pPr>
      <w:permStart w:id="33" w:edGrp="everyone"/>
    </w:p>
    <w:permEnd w:id="33"/>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4" w:edGrp="everyone"/>
          </w:p>
        </w:tc>
        <w:tc>
          <w:tcPr>
            <w:tcW w:w="6970" w:type="dxa"/>
            <w:shd w:val="clear" w:color="auto" w:fill="auto"/>
            <w:vAlign w:val="center"/>
          </w:tcPr>
          <w:p>
            <w:pPr>
              <w:jc w:val="both"/>
              <w:rPr>
                <w:szCs w:val="21"/>
                <w:lang w:eastAsia="zh-CN"/>
              </w:rPr>
            </w:pPr>
            <w:r>
              <w:rPr>
                <w:rFonts w:ascii="Arial" w:hAnsi="Arial" w:cs="Arial"/>
                <w:szCs w:val="21"/>
              </w:rPr>
              <w:t>须提供文件清单</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5" w:edGrp="everyone"/>
          </w:p>
        </w:tc>
        <w:tc>
          <w:tcPr>
            <w:tcW w:w="6970" w:type="dxa"/>
            <w:shd w:val="clear" w:color="auto" w:fill="auto"/>
            <w:vAlign w:val="center"/>
          </w:tcPr>
          <w:p>
            <w:pPr>
              <w:jc w:val="both"/>
              <w:rPr>
                <w:szCs w:val="21"/>
                <w:lang w:eastAsia="zh-CN"/>
              </w:rPr>
            </w:pPr>
            <w:r>
              <w:rPr>
                <w:rFonts w:ascii="Arial" w:hAnsi="Arial" w:cs="Arial"/>
                <w:szCs w:val="21"/>
                <w:lang w:eastAsia="zh-CN"/>
              </w:rPr>
              <w:t>技术数据：设备技术说明，设备详细尺寸，设备的描述</w:t>
            </w:r>
          </w:p>
        </w:tc>
        <w:tc>
          <w:tcPr>
            <w:tcW w:w="2082" w:type="dxa"/>
            <w:shd w:val="clear" w:color="auto" w:fill="auto"/>
            <w:vAlign w:val="center"/>
          </w:tcPr>
          <w:p>
            <w:pPr>
              <w:jc w:val="center"/>
              <w:rPr>
                <w:szCs w:val="21"/>
                <w:lang w:eastAsia="zh-CN"/>
              </w:rPr>
            </w:pPr>
            <w:r>
              <w:rPr>
                <w:rFonts w:hint="eastAsia"/>
                <w:szCs w:val="21"/>
                <w:lang w:eastAsia="zh-CN"/>
              </w:rPr>
              <w:t>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rFonts w:ascii="Arial" w:hAnsi="Arial" w:cs="Arial"/>
                <w:szCs w:val="21"/>
                <w:lang w:eastAsia="zh-CN"/>
              </w:rPr>
            </w:pPr>
            <w:r>
              <w:rPr>
                <w:rFonts w:ascii="Arial" w:hAnsi="Arial" w:cs="Arial"/>
                <w:szCs w:val="21"/>
                <w:lang w:eastAsia="zh-CN"/>
              </w:rPr>
              <w:t>设备安装和空间要求：基础和空间要求，安装时的运输，安全</w:t>
            </w:r>
            <w:r>
              <w:rPr>
                <w:rFonts w:ascii="Arial" w:hAnsi="Arial" w:cs="Arial"/>
                <w:spacing w:val="6"/>
                <w:sz w:val="24"/>
                <w:lang w:eastAsia="zh-CN"/>
              </w:rPr>
              <w:t>。</w:t>
            </w:r>
          </w:p>
        </w:tc>
        <w:tc>
          <w:tcPr>
            <w:tcW w:w="2082" w:type="dxa"/>
            <w:shd w:val="clear" w:color="auto" w:fill="auto"/>
            <w:vAlign w:val="center"/>
          </w:tcPr>
          <w:p>
            <w:pPr>
              <w:jc w:val="center"/>
              <w:rPr>
                <w:szCs w:val="21"/>
                <w:lang w:eastAsia="zh-CN"/>
              </w:rPr>
            </w:pPr>
            <w:r>
              <w:rPr>
                <w:rFonts w:hint="eastAsia"/>
                <w:szCs w:val="21"/>
                <w:lang w:eastAsia="zh-CN"/>
              </w:rPr>
              <w:t>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6970" w:type="dxa"/>
            <w:shd w:val="clear" w:color="auto" w:fill="auto"/>
            <w:vAlign w:val="center"/>
          </w:tcPr>
          <w:p>
            <w:pPr>
              <w:jc w:val="both"/>
              <w:rPr>
                <w:rFonts w:ascii="Arial" w:hAnsi="Arial" w:cs="Arial"/>
                <w:szCs w:val="21"/>
              </w:rPr>
            </w:pPr>
            <w:r>
              <w:rPr>
                <w:rFonts w:hint="eastAsia" w:ascii="Arial" w:hAnsi="Arial" w:cs="Arial"/>
                <w:szCs w:val="21"/>
                <w:lang w:val="en-US" w:eastAsia="zh-CN"/>
              </w:rPr>
              <w:t>设备使用说明书</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35"/>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p>
      <w:pPr>
        <w:pStyle w:val="41"/>
        <w:spacing w:before="0" w:line="360" w:lineRule="auto"/>
        <w:jc w:val="left"/>
        <w:rPr>
          <w:i/>
          <w:color w:val="4472C4"/>
          <w:szCs w:val="21"/>
          <w:lang w:eastAsia="zh-CN"/>
        </w:rPr>
      </w:pPr>
      <w:permStart w:id="36" w:edGrp="everyone"/>
    </w:p>
    <w:permEnd w:id="36"/>
    <w:tbl>
      <w:tblPr>
        <w:tblStyle w:val="1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69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1"/>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7" w:edGrp="everyone"/>
          </w:p>
        </w:tc>
        <w:tc>
          <w:tcPr>
            <w:tcW w:w="6970" w:type="dxa"/>
            <w:shd w:val="clear" w:color="auto" w:fill="auto"/>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8" w:edGrp="everyone"/>
          </w:p>
        </w:tc>
        <w:tc>
          <w:tcPr>
            <w:tcW w:w="6970" w:type="dxa"/>
            <w:shd w:val="clear" w:color="auto" w:fill="auto"/>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39" w:edGrp="everyone"/>
          </w:p>
        </w:tc>
        <w:tc>
          <w:tcPr>
            <w:tcW w:w="6970" w:type="dxa"/>
            <w:shd w:val="clear" w:color="auto" w:fill="auto"/>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1"/>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0" w:edGrp="everyone"/>
          </w:p>
        </w:tc>
        <w:tc>
          <w:tcPr>
            <w:tcW w:w="6970" w:type="dxa"/>
            <w:shd w:val="clear" w:color="auto" w:fill="auto"/>
            <w:vAlign w:val="center"/>
          </w:tcPr>
          <w:p>
            <w:pPr>
              <w:spacing w:line="276" w:lineRule="auto"/>
              <w:jc w:val="both"/>
              <w:rPr>
                <w:szCs w:val="21"/>
                <w:lang w:eastAsia="zh-CN"/>
              </w:rPr>
            </w:pPr>
            <w:r>
              <w:rPr>
                <w:lang w:eastAsia="zh-CN"/>
              </w:rPr>
              <w:t>设备运输在运输途中需做好防护措施，不得有任何损伤</w:t>
            </w:r>
            <w:r>
              <w:rPr>
                <w:color w:val="0070C0"/>
                <w:lang w:eastAsia="zh-CN"/>
              </w:rPr>
              <w:t>。</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1"/>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1" w:edGrp="everyone"/>
          </w:p>
        </w:tc>
        <w:tc>
          <w:tcPr>
            <w:tcW w:w="6970" w:type="dxa"/>
            <w:shd w:val="clear" w:color="auto" w:fill="auto"/>
            <w:vAlign w:val="center"/>
          </w:tcPr>
          <w:p>
            <w:pPr>
              <w:spacing w:line="276" w:lineRule="auto"/>
              <w:jc w:val="both"/>
              <w:rPr>
                <w:i/>
                <w:szCs w:val="21"/>
                <w:lang w:eastAsia="zh-CN"/>
              </w:rPr>
            </w:pPr>
            <w:r>
              <w:rPr>
                <w:rFonts w:ascii="Arial" w:hAnsi="Arial" w:cs="Arial"/>
                <w:spacing w:val="6"/>
                <w:szCs w:val="21"/>
                <w:lang w:eastAsia="zh-CN"/>
              </w:rPr>
              <w:t>供应商需派合格人员完成</w:t>
            </w:r>
            <w:r>
              <w:rPr>
                <w:spacing w:val="6"/>
                <w:szCs w:val="21"/>
                <w:lang w:eastAsia="zh-CN"/>
              </w:rPr>
              <w:t>FAT、DQ、IQ和OQ</w:t>
            </w:r>
            <w:r>
              <w:rPr>
                <w:rFonts w:ascii="Arial" w:hAnsi="Arial" w:cs="Arial"/>
                <w:spacing w:val="6"/>
                <w:szCs w:val="21"/>
                <w:lang w:eastAsia="zh-CN"/>
              </w:rPr>
              <w:t>验证，</w:t>
            </w:r>
            <w:r>
              <w:rPr>
                <w:rFonts w:ascii="Arial" w:hAnsi="Arial" w:cs="Arial"/>
                <w:bCs/>
                <w:szCs w:val="21"/>
                <w:lang w:eastAsia="zh-CN"/>
              </w:rPr>
              <w:t>并提供</w:t>
            </w:r>
            <w:r>
              <w:rPr>
                <w:bCs/>
                <w:szCs w:val="21"/>
                <w:lang w:eastAsia="zh-CN"/>
              </w:rPr>
              <w:t>FAT、</w:t>
            </w:r>
            <w:r>
              <w:rPr>
                <w:spacing w:val="6"/>
                <w:szCs w:val="21"/>
                <w:lang w:eastAsia="zh-CN"/>
              </w:rPr>
              <w:t>DQ</w:t>
            </w:r>
            <w:r>
              <w:rPr>
                <w:bCs/>
                <w:szCs w:val="21"/>
                <w:lang w:eastAsia="zh-CN"/>
              </w:rPr>
              <w:t xml:space="preserve"> </w:t>
            </w:r>
            <w:r>
              <w:rPr>
                <w:rFonts w:hint="eastAsia"/>
                <w:bCs/>
                <w:szCs w:val="21"/>
                <w:lang w:eastAsia="zh-CN"/>
              </w:rPr>
              <w:t>、</w:t>
            </w:r>
            <w:r>
              <w:rPr>
                <w:bCs/>
                <w:szCs w:val="21"/>
                <w:lang w:eastAsia="zh-CN"/>
              </w:rPr>
              <w:t>IQ和OQ</w:t>
            </w:r>
            <w:r>
              <w:rPr>
                <w:rFonts w:ascii="Arial" w:hAnsi="Arial" w:cs="Arial"/>
                <w:bCs/>
                <w:szCs w:val="21"/>
                <w:lang w:eastAsia="zh-CN"/>
              </w:rPr>
              <w:t>验证文件（</w:t>
            </w:r>
            <w:r>
              <w:rPr>
                <w:rFonts w:ascii="Arial" w:hAnsi="Arial" w:cs="Arial"/>
                <w:szCs w:val="21"/>
                <w:lang w:eastAsia="zh-CN"/>
              </w:rPr>
              <w:t>所有的测试都需要相关的文件记录）。</w:t>
            </w:r>
            <w:r>
              <w:rPr>
                <w:rFonts w:hint="eastAsia" w:ascii="Arial" w:hAnsi="Arial" w:cs="Arial"/>
                <w:spacing w:val="6"/>
                <w:szCs w:val="21"/>
                <w:lang w:eastAsia="zh-CN"/>
              </w:rPr>
              <w:t>武汉生物制品研究所</w:t>
            </w:r>
            <w:r>
              <w:rPr>
                <w:rFonts w:ascii="Arial" w:hAnsi="Arial" w:cs="Arial"/>
                <w:bCs/>
                <w:szCs w:val="21"/>
                <w:lang w:eastAsia="zh-CN"/>
              </w:rPr>
              <w:t>负责监督，审核和批准整个验证过程。</w:t>
            </w:r>
            <w:r>
              <w:rPr>
                <w:rFonts w:hint="eastAsia" w:ascii="Arial" w:hAnsi="Arial" w:cs="Arial"/>
                <w:spacing w:val="6"/>
                <w:szCs w:val="21"/>
                <w:lang w:eastAsia="zh-CN"/>
              </w:rPr>
              <w:t>武汉生物制品研究所</w:t>
            </w:r>
            <w:r>
              <w:rPr>
                <w:rFonts w:ascii="Arial" w:hAnsi="Arial" w:cs="Arial"/>
                <w:szCs w:val="21"/>
                <w:lang w:eastAsia="zh-CN"/>
              </w:rPr>
              <w:t>最终批准设备可以交付使用</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2" w:edGrp="everyone"/>
          </w:p>
        </w:tc>
        <w:tc>
          <w:tcPr>
            <w:tcW w:w="6970" w:type="dxa"/>
            <w:shd w:val="clear" w:color="auto" w:fill="auto"/>
            <w:vAlign w:val="center"/>
          </w:tcPr>
          <w:p>
            <w:pPr>
              <w:spacing w:line="276" w:lineRule="auto"/>
              <w:jc w:val="both"/>
              <w:rPr>
                <w:szCs w:val="21"/>
                <w:lang w:eastAsia="zh-CN"/>
              </w:rPr>
            </w:pPr>
            <w:r>
              <w:rPr>
                <w:rFonts w:hint="eastAsia"/>
                <w:lang w:eastAsia="zh-CN"/>
              </w:rPr>
              <w:t>厂家协助完成</w:t>
            </w:r>
            <w:r>
              <w:rPr>
                <w:lang w:eastAsia="zh-CN"/>
              </w:rPr>
              <w:t>PQ</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1"/>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3" w:edGrp="everyone"/>
          </w:p>
        </w:tc>
        <w:tc>
          <w:tcPr>
            <w:tcW w:w="6970" w:type="dxa"/>
            <w:shd w:val="clear" w:color="auto" w:fill="auto"/>
            <w:vAlign w:val="center"/>
          </w:tcPr>
          <w:p>
            <w:pPr>
              <w:spacing w:line="276" w:lineRule="auto"/>
              <w:jc w:val="both"/>
              <w:rPr>
                <w:szCs w:val="21"/>
                <w:lang w:eastAsia="zh-CN"/>
              </w:rPr>
            </w:pPr>
            <w:r>
              <w:rPr>
                <w:rFonts w:hint="eastAsia" w:ascii="Arial" w:hAnsi="Arial" w:cs="Arial"/>
                <w:szCs w:val="21"/>
                <w:lang w:eastAsia="zh-CN"/>
              </w:rPr>
              <w:t>售后服务必须响应及时，要求设备出现须厂家维修的故障后，应在</w:t>
            </w:r>
            <w:r>
              <w:rPr>
                <w:szCs w:val="21"/>
                <w:lang w:eastAsia="zh-CN"/>
              </w:rPr>
              <w:t>4</w:t>
            </w:r>
            <w:r>
              <w:rPr>
                <w:rFonts w:hint="eastAsia" w:ascii="Arial" w:hAnsi="Arial" w:cs="Arial"/>
                <w:szCs w:val="21"/>
                <w:lang w:eastAsia="zh-CN"/>
              </w:rPr>
              <w:t>小时内明确答复，当电话沟通无法解决时，须</w:t>
            </w:r>
            <w:r>
              <w:rPr>
                <w:szCs w:val="21"/>
                <w:lang w:eastAsia="zh-CN"/>
              </w:rPr>
              <w:t>24</w:t>
            </w:r>
            <w:r>
              <w:rPr>
                <w:rFonts w:hint="eastAsia" w:ascii="Arial" w:hAnsi="Arial" w:cs="Arial"/>
                <w:szCs w:val="21"/>
                <w:lang w:eastAsia="zh-CN"/>
              </w:rPr>
              <w:t>小时内派人至现场解决。</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4" w:edGrp="everyone"/>
          </w:p>
        </w:tc>
        <w:tc>
          <w:tcPr>
            <w:tcW w:w="6970" w:type="dxa"/>
            <w:shd w:val="clear" w:color="auto" w:fill="auto"/>
            <w:vAlign w:val="center"/>
          </w:tcPr>
          <w:p>
            <w:pPr>
              <w:spacing w:line="276" w:lineRule="auto"/>
              <w:jc w:val="both"/>
              <w:rPr>
                <w:rFonts w:ascii="Arial" w:hAnsi="Arial" w:cs="Arial"/>
                <w:sz w:val="24"/>
                <w:szCs w:val="22"/>
                <w:lang w:eastAsia="zh-CN"/>
              </w:rPr>
            </w:pPr>
            <w:r>
              <w:rPr>
                <w:rFonts w:hint="eastAsia" w:ascii="宋体" w:hAnsi="宋体"/>
                <w:szCs w:val="21"/>
                <w:lang w:eastAsia="zh-CN"/>
              </w:rPr>
              <w:t>设备质保期为</w:t>
            </w:r>
            <w:r>
              <w:rPr>
                <w:rFonts w:hint="eastAsia" w:ascii="宋体" w:hAnsi="宋体"/>
                <w:szCs w:val="21"/>
                <w:lang w:val="en-US" w:eastAsia="zh-CN"/>
              </w:rPr>
              <w:t>一</w:t>
            </w:r>
            <w:r>
              <w:rPr>
                <w:rFonts w:hint="eastAsia" w:ascii="宋体" w:hAnsi="宋体"/>
                <w:szCs w:val="21"/>
                <w:lang w:eastAsia="zh-CN"/>
              </w:rPr>
              <w:t>年，</w:t>
            </w:r>
            <w:r>
              <w:rPr>
                <w:rFonts w:hint="eastAsia" w:ascii="宋体" w:hAnsi="宋体"/>
                <w:szCs w:val="21"/>
                <w:lang w:val="en-US" w:eastAsia="zh-CN"/>
              </w:rPr>
              <w:t>一</w:t>
            </w:r>
            <w:r>
              <w:rPr>
                <w:rFonts w:hint="eastAsia" w:ascii="宋体" w:hAnsi="宋体"/>
                <w:szCs w:val="21"/>
                <w:lang w:eastAsia="zh-CN"/>
              </w:rPr>
              <w:t>年内免费保修，</w:t>
            </w:r>
            <w:r>
              <w:rPr>
                <w:rFonts w:hint="eastAsia" w:ascii="宋体" w:hAnsi="宋体"/>
                <w:szCs w:val="21"/>
                <w:lang w:val="en-US" w:eastAsia="zh-CN"/>
              </w:rPr>
              <w:t>一</w:t>
            </w:r>
            <w:r>
              <w:rPr>
                <w:rFonts w:hint="eastAsia" w:ascii="宋体" w:hAnsi="宋体"/>
                <w:szCs w:val="21"/>
                <w:lang w:eastAsia="zh-CN"/>
              </w:rPr>
              <w:t>年后应提供良好的售后服务</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5" w:edGrp="everyone"/>
          </w:p>
        </w:tc>
        <w:tc>
          <w:tcPr>
            <w:tcW w:w="6970" w:type="dxa"/>
            <w:shd w:val="clear" w:color="auto" w:fill="auto"/>
            <w:vAlign w:val="center"/>
          </w:tcPr>
          <w:p>
            <w:pPr>
              <w:spacing w:line="276" w:lineRule="auto"/>
              <w:jc w:val="both"/>
              <w:rPr>
                <w:rFonts w:ascii="宋体" w:hAnsi="宋体"/>
                <w:sz w:val="24"/>
                <w:lang w:eastAsia="zh-CN"/>
              </w:rPr>
            </w:pPr>
            <w:r>
              <w:rPr>
                <w:rFonts w:hint="eastAsia" w:ascii="宋体" w:hAnsi="宋体"/>
                <w:szCs w:val="21"/>
                <w:lang w:val="en-US" w:eastAsia="zh-CN"/>
              </w:rPr>
              <w:t>一</w:t>
            </w:r>
            <w:r>
              <w:rPr>
                <w:rFonts w:hint="eastAsia" w:ascii="宋体" w:hAnsi="宋体"/>
                <w:szCs w:val="21"/>
                <w:lang w:eastAsia="zh-CN"/>
              </w:rPr>
              <w:t>年免费保修期后，厂家应终生提供及时的维修、维护，厂家应定期回访，解决设备运行当中可能出现的疑问，排除潜在故障，使设备保持良好工作状态。</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6" w:edGrp="everyone"/>
          </w:p>
        </w:tc>
        <w:tc>
          <w:tcPr>
            <w:tcW w:w="6970" w:type="dxa"/>
            <w:shd w:val="clear" w:color="auto" w:fill="auto"/>
            <w:vAlign w:val="center"/>
          </w:tcPr>
          <w:p>
            <w:pPr>
              <w:spacing w:line="276" w:lineRule="auto"/>
              <w:jc w:val="both"/>
              <w:rPr>
                <w:rFonts w:ascii="宋体" w:hAnsi="宋体"/>
                <w:sz w:val="24"/>
                <w:lang w:eastAsia="zh-CN"/>
              </w:rPr>
            </w:pPr>
            <w:r>
              <w:rPr>
                <w:rFonts w:hint="eastAsia" w:ascii="宋体" w:hAnsi="宋体"/>
                <w:color w:val="000000"/>
                <w:szCs w:val="21"/>
                <w:lang w:eastAsia="zh-CN"/>
              </w:rPr>
              <w:t>厂家应提供合格的备件，用于设备相应部件的维修、更换。</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1"/>
              <w:numPr>
                <w:ilvl w:val="0"/>
                <w:numId w:val="11"/>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7" w:edGrp="everyone"/>
          </w:p>
        </w:tc>
        <w:tc>
          <w:tcPr>
            <w:tcW w:w="6970" w:type="dxa"/>
            <w:shd w:val="clear" w:color="auto" w:fill="auto"/>
            <w:vAlign w:val="center"/>
          </w:tcPr>
          <w:p>
            <w:pPr>
              <w:spacing w:line="276" w:lineRule="auto"/>
              <w:jc w:val="both"/>
              <w:rPr>
                <w:szCs w:val="21"/>
                <w:lang w:eastAsia="zh-CN"/>
              </w:rPr>
            </w:pPr>
            <w:r>
              <w:rPr>
                <w:rFonts w:hint="eastAsia" w:ascii="宋体" w:hAnsi="宋体"/>
                <w:szCs w:val="21"/>
                <w:lang w:eastAsia="zh-CN"/>
              </w:rPr>
              <w:t>供应商向买方提供详细的验收标准、验收手册。</w:t>
            </w:r>
          </w:p>
        </w:tc>
        <w:tc>
          <w:tcPr>
            <w:tcW w:w="2082" w:type="dxa"/>
            <w:shd w:val="clear" w:color="auto" w:fill="auto"/>
            <w:vAlign w:val="center"/>
          </w:tcPr>
          <w:p>
            <w:pPr>
              <w:jc w:val="center"/>
              <w:rPr>
                <w:szCs w:val="21"/>
                <w:lang w:eastAsia="zh-CN"/>
              </w:rPr>
            </w:pPr>
            <w:r>
              <w:rPr>
                <w:rFonts w:hint="eastAsia"/>
                <w:szCs w:val="21"/>
                <w:lang w:eastAsia="zh-CN"/>
              </w:rPr>
              <w:t>重要</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8" w:edGrp="everyone"/>
          </w:p>
        </w:tc>
        <w:tc>
          <w:tcPr>
            <w:tcW w:w="6970" w:type="dxa"/>
            <w:shd w:val="clear" w:color="auto" w:fill="auto"/>
            <w:vAlign w:val="center"/>
          </w:tcPr>
          <w:p>
            <w:pPr>
              <w:spacing w:line="276" w:lineRule="auto"/>
              <w:jc w:val="both"/>
              <w:rPr>
                <w:szCs w:val="21"/>
                <w:lang w:eastAsia="zh-CN"/>
              </w:rPr>
            </w:pPr>
            <w:r>
              <w:rPr>
                <w:rFonts w:hint="eastAsia" w:ascii="宋体" w:hAnsi="宋体"/>
                <w:szCs w:val="21"/>
                <w:lang w:eastAsia="zh-CN"/>
              </w:rPr>
              <w:t>设备安装后，仪器所有技术参数经检验应符合国际和国家标准及厂方标准。供应商有权委托中国有资格的单位对上述仪器进行精度校核。</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auto"/>
            <w:vAlign w:val="center"/>
          </w:tcPr>
          <w:p>
            <w:pPr>
              <w:pStyle w:val="31"/>
              <w:numPr>
                <w:ilvl w:val="0"/>
                <w:numId w:val="7"/>
              </w:numPr>
              <w:ind w:left="470" w:hanging="120" w:firstLineChars="0"/>
              <w:rPr>
                <w:rFonts w:ascii="Times New Roman" w:hAnsi="Times New Roman"/>
                <w:szCs w:val="21"/>
              </w:rPr>
            </w:pPr>
            <w:permStart w:id="49" w:edGrp="everyone"/>
          </w:p>
        </w:tc>
        <w:tc>
          <w:tcPr>
            <w:tcW w:w="6970" w:type="dxa"/>
            <w:shd w:val="clear" w:color="auto" w:fill="auto"/>
            <w:vAlign w:val="center"/>
          </w:tcPr>
          <w:p>
            <w:pPr>
              <w:spacing w:line="276" w:lineRule="auto"/>
              <w:jc w:val="both"/>
              <w:rPr>
                <w:rFonts w:ascii="宋体" w:hAnsi="宋体"/>
                <w:szCs w:val="21"/>
                <w:lang w:eastAsia="zh-CN"/>
              </w:rPr>
            </w:pPr>
            <w:r>
              <w:rPr>
                <w:rFonts w:hint="eastAsia" w:ascii="宋体" w:hAnsi="宋体"/>
                <w:szCs w:val="21"/>
                <w:lang w:eastAsia="zh-CN"/>
              </w:rPr>
              <w:t>设备验收合格后，出具验收报告，买卖双方在验收文件上签字生效。</w:t>
            </w:r>
          </w:p>
        </w:tc>
        <w:tc>
          <w:tcPr>
            <w:tcW w:w="2082" w:type="dxa"/>
            <w:shd w:val="clear" w:color="auto" w:fill="auto"/>
            <w:vAlign w:val="center"/>
          </w:tcPr>
          <w:p>
            <w:pPr>
              <w:jc w:val="center"/>
              <w:rPr>
                <w:szCs w:val="21"/>
                <w:lang w:eastAsia="zh-CN"/>
              </w:rPr>
            </w:pPr>
            <w:r>
              <w:rPr>
                <w:rFonts w:hint="eastAsia"/>
                <w:szCs w:val="21"/>
                <w:lang w:eastAsia="zh-CN"/>
              </w:rPr>
              <w:t>关键</w:t>
            </w:r>
          </w:p>
        </w:tc>
      </w:tr>
      <w:permEnd w:id="49"/>
    </w:tbl>
    <w:p/>
    <w:p>
      <w:pPr>
        <w:pStyle w:val="31"/>
        <w:numPr>
          <w:ilvl w:val="0"/>
          <w:numId w:val="3"/>
        </w:numPr>
        <w:spacing w:after="158" w:afterLines="50"/>
        <w:ind w:left="426" w:hanging="426" w:hangingChars="202"/>
        <w:outlineLvl w:val="0"/>
        <w:rPr>
          <w:rFonts w:ascii="Times New Roman" w:hAnsi="Times New Roman"/>
          <w:b/>
        </w:rPr>
      </w:pPr>
      <w:bookmarkStart w:id="45" w:name="_Toc522107746"/>
      <w:bookmarkStart w:id="46" w:name="_Toc52271612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1"/>
        <w:spacing w:before="0" w:line="360" w:lineRule="auto"/>
        <w:ind w:left="357"/>
        <w:jc w:val="left"/>
        <w:rPr>
          <w:szCs w:val="21"/>
          <w:lang w:eastAsia="zh-CN"/>
        </w:rPr>
      </w:pPr>
      <w:permStart w:id="50" w:edGrp="everyone"/>
      <w:r>
        <w:rPr>
          <w:rFonts w:hint="eastAsia"/>
          <w:szCs w:val="21"/>
          <w:lang w:eastAsia="zh-CN"/>
        </w:rPr>
        <w:t>不适用</w:t>
      </w:r>
      <w:permEnd w:id="50"/>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846"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0"/>
  </w:num>
  <w:num w:numId="3">
    <w:abstractNumId w:val="6"/>
  </w:num>
  <w:num w:numId="4">
    <w:abstractNumId w:val="9"/>
  </w:num>
  <w:num w:numId="5">
    <w:abstractNumId w:val="5"/>
  </w:num>
  <w:num w:numId="6">
    <w:abstractNumId w:val="0"/>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58"/>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16"/>
    <w:rsid w:val="00001AE0"/>
    <w:rsid w:val="000021A6"/>
    <w:rsid w:val="00002877"/>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5CB1"/>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1362"/>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1C0F"/>
    <w:rsid w:val="000F2CD3"/>
    <w:rsid w:val="000F36B9"/>
    <w:rsid w:val="000F3A00"/>
    <w:rsid w:val="000F4E03"/>
    <w:rsid w:val="000F606A"/>
    <w:rsid w:val="000F706D"/>
    <w:rsid w:val="001003E3"/>
    <w:rsid w:val="00100F65"/>
    <w:rsid w:val="0010110F"/>
    <w:rsid w:val="00102DC9"/>
    <w:rsid w:val="001031DF"/>
    <w:rsid w:val="00103F05"/>
    <w:rsid w:val="00104160"/>
    <w:rsid w:val="00105007"/>
    <w:rsid w:val="0010503D"/>
    <w:rsid w:val="00106571"/>
    <w:rsid w:val="00106B5D"/>
    <w:rsid w:val="00110CF0"/>
    <w:rsid w:val="001120B7"/>
    <w:rsid w:val="0011231F"/>
    <w:rsid w:val="00112670"/>
    <w:rsid w:val="00112DD4"/>
    <w:rsid w:val="00112F30"/>
    <w:rsid w:val="00114132"/>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6ADE"/>
    <w:rsid w:val="001374CF"/>
    <w:rsid w:val="0014213E"/>
    <w:rsid w:val="00143952"/>
    <w:rsid w:val="001442AB"/>
    <w:rsid w:val="0014477D"/>
    <w:rsid w:val="00144D00"/>
    <w:rsid w:val="00145034"/>
    <w:rsid w:val="00145DC7"/>
    <w:rsid w:val="00145F74"/>
    <w:rsid w:val="00146568"/>
    <w:rsid w:val="00147707"/>
    <w:rsid w:val="00150BCC"/>
    <w:rsid w:val="001541A9"/>
    <w:rsid w:val="001549D1"/>
    <w:rsid w:val="00154CD3"/>
    <w:rsid w:val="001560AD"/>
    <w:rsid w:val="0015633E"/>
    <w:rsid w:val="0015752C"/>
    <w:rsid w:val="0016077F"/>
    <w:rsid w:val="00160B0C"/>
    <w:rsid w:val="00161486"/>
    <w:rsid w:val="0016194A"/>
    <w:rsid w:val="00161F7F"/>
    <w:rsid w:val="00162A78"/>
    <w:rsid w:val="00163A08"/>
    <w:rsid w:val="00164CDC"/>
    <w:rsid w:val="00164E0D"/>
    <w:rsid w:val="00165A07"/>
    <w:rsid w:val="00166311"/>
    <w:rsid w:val="00166478"/>
    <w:rsid w:val="00167B0E"/>
    <w:rsid w:val="00171A51"/>
    <w:rsid w:val="001746E7"/>
    <w:rsid w:val="001757AB"/>
    <w:rsid w:val="001769A8"/>
    <w:rsid w:val="001814FA"/>
    <w:rsid w:val="001815A9"/>
    <w:rsid w:val="00182A27"/>
    <w:rsid w:val="00183FCA"/>
    <w:rsid w:val="00184DDD"/>
    <w:rsid w:val="00184FFD"/>
    <w:rsid w:val="00185449"/>
    <w:rsid w:val="00186314"/>
    <w:rsid w:val="00187B04"/>
    <w:rsid w:val="00190000"/>
    <w:rsid w:val="001929C2"/>
    <w:rsid w:val="00192B8F"/>
    <w:rsid w:val="00193D66"/>
    <w:rsid w:val="00194BB7"/>
    <w:rsid w:val="001A1DE7"/>
    <w:rsid w:val="001A320E"/>
    <w:rsid w:val="001A3BB0"/>
    <w:rsid w:val="001A4947"/>
    <w:rsid w:val="001A64C0"/>
    <w:rsid w:val="001A685F"/>
    <w:rsid w:val="001A7EB6"/>
    <w:rsid w:val="001A7FE4"/>
    <w:rsid w:val="001B0278"/>
    <w:rsid w:val="001B28C8"/>
    <w:rsid w:val="001B4654"/>
    <w:rsid w:val="001C017B"/>
    <w:rsid w:val="001C239E"/>
    <w:rsid w:val="001C2D7E"/>
    <w:rsid w:val="001C767E"/>
    <w:rsid w:val="001D1FA0"/>
    <w:rsid w:val="001D3156"/>
    <w:rsid w:val="001D32D4"/>
    <w:rsid w:val="001D3C96"/>
    <w:rsid w:val="001D4383"/>
    <w:rsid w:val="001D4742"/>
    <w:rsid w:val="001D474B"/>
    <w:rsid w:val="001D48B0"/>
    <w:rsid w:val="001D5549"/>
    <w:rsid w:val="001D562E"/>
    <w:rsid w:val="001D63B7"/>
    <w:rsid w:val="001E0376"/>
    <w:rsid w:val="001E13E0"/>
    <w:rsid w:val="001E2B2B"/>
    <w:rsid w:val="001E353E"/>
    <w:rsid w:val="001E3CBE"/>
    <w:rsid w:val="001E5657"/>
    <w:rsid w:val="001E5F94"/>
    <w:rsid w:val="001E6A7D"/>
    <w:rsid w:val="001E744F"/>
    <w:rsid w:val="001F065A"/>
    <w:rsid w:val="001F1FE7"/>
    <w:rsid w:val="001F25DD"/>
    <w:rsid w:val="001F3552"/>
    <w:rsid w:val="001F473D"/>
    <w:rsid w:val="001F4BFD"/>
    <w:rsid w:val="001F6025"/>
    <w:rsid w:val="001F7405"/>
    <w:rsid w:val="001F7E95"/>
    <w:rsid w:val="00201487"/>
    <w:rsid w:val="00202C21"/>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4F28"/>
    <w:rsid w:val="002355FF"/>
    <w:rsid w:val="002367A6"/>
    <w:rsid w:val="00236BE9"/>
    <w:rsid w:val="00237E6C"/>
    <w:rsid w:val="00240A09"/>
    <w:rsid w:val="00240B1E"/>
    <w:rsid w:val="00240DDB"/>
    <w:rsid w:val="00241437"/>
    <w:rsid w:val="00244E75"/>
    <w:rsid w:val="00245088"/>
    <w:rsid w:val="00245E3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45A0"/>
    <w:rsid w:val="0028525D"/>
    <w:rsid w:val="002860DB"/>
    <w:rsid w:val="00286CE5"/>
    <w:rsid w:val="0029023F"/>
    <w:rsid w:val="002913B7"/>
    <w:rsid w:val="00291541"/>
    <w:rsid w:val="00291C5E"/>
    <w:rsid w:val="002924C2"/>
    <w:rsid w:val="00293E83"/>
    <w:rsid w:val="00293F9A"/>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14BE"/>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2F636D"/>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1C95"/>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776CA"/>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7EA"/>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0195"/>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6E9D"/>
    <w:rsid w:val="004074DC"/>
    <w:rsid w:val="00410F34"/>
    <w:rsid w:val="004111CC"/>
    <w:rsid w:val="004122A3"/>
    <w:rsid w:val="00416E8B"/>
    <w:rsid w:val="00420273"/>
    <w:rsid w:val="00420AA0"/>
    <w:rsid w:val="0042116C"/>
    <w:rsid w:val="00422D19"/>
    <w:rsid w:val="00422DFE"/>
    <w:rsid w:val="00424D83"/>
    <w:rsid w:val="00424E29"/>
    <w:rsid w:val="004271E3"/>
    <w:rsid w:val="00427D22"/>
    <w:rsid w:val="00427E2D"/>
    <w:rsid w:val="00432568"/>
    <w:rsid w:val="00434B6A"/>
    <w:rsid w:val="00436C7C"/>
    <w:rsid w:val="00437440"/>
    <w:rsid w:val="00440378"/>
    <w:rsid w:val="00442B53"/>
    <w:rsid w:val="00443256"/>
    <w:rsid w:val="00444D2D"/>
    <w:rsid w:val="004478B7"/>
    <w:rsid w:val="004510B1"/>
    <w:rsid w:val="00451C5D"/>
    <w:rsid w:val="00451D74"/>
    <w:rsid w:val="00452E73"/>
    <w:rsid w:val="004565EF"/>
    <w:rsid w:val="00457FF9"/>
    <w:rsid w:val="004601ED"/>
    <w:rsid w:val="00460711"/>
    <w:rsid w:val="0046108B"/>
    <w:rsid w:val="00467AE6"/>
    <w:rsid w:val="00467EC9"/>
    <w:rsid w:val="00475E56"/>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51A6"/>
    <w:rsid w:val="004B69B2"/>
    <w:rsid w:val="004B7507"/>
    <w:rsid w:val="004B7DC4"/>
    <w:rsid w:val="004B7F85"/>
    <w:rsid w:val="004C099B"/>
    <w:rsid w:val="004C42AE"/>
    <w:rsid w:val="004C49B0"/>
    <w:rsid w:val="004C4F53"/>
    <w:rsid w:val="004C4F7F"/>
    <w:rsid w:val="004C592E"/>
    <w:rsid w:val="004D050F"/>
    <w:rsid w:val="004D0E3A"/>
    <w:rsid w:val="004D1A73"/>
    <w:rsid w:val="004D2689"/>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661D"/>
    <w:rsid w:val="004F7B6A"/>
    <w:rsid w:val="0050090F"/>
    <w:rsid w:val="0050208D"/>
    <w:rsid w:val="0050284B"/>
    <w:rsid w:val="00502F99"/>
    <w:rsid w:val="00504B71"/>
    <w:rsid w:val="00507991"/>
    <w:rsid w:val="00507C94"/>
    <w:rsid w:val="00507EB2"/>
    <w:rsid w:val="00510111"/>
    <w:rsid w:val="00511AB4"/>
    <w:rsid w:val="00512690"/>
    <w:rsid w:val="00512A4E"/>
    <w:rsid w:val="00513177"/>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3794D"/>
    <w:rsid w:val="00544652"/>
    <w:rsid w:val="0054625B"/>
    <w:rsid w:val="00551539"/>
    <w:rsid w:val="00552EFE"/>
    <w:rsid w:val="00554ABB"/>
    <w:rsid w:val="0055552D"/>
    <w:rsid w:val="00555668"/>
    <w:rsid w:val="0055679E"/>
    <w:rsid w:val="0056090D"/>
    <w:rsid w:val="00561808"/>
    <w:rsid w:val="00561E9C"/>
    <w:rsid w:val="00562AAF"/>
    <w:rsid w:val="005645FA"/>
    <w:rsid w:val="00565C7A"/>
    <w:rsid w:val="00567E14"/>
    <w:rsid w:val="005705A7"/>
    <w:rsid w:val="00571E06"/>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1A9C"/>
    <w:rsid w:val="005B2393"/>
    <w:rsid w:val="005B750A"/>
    <w:rsid w:val="005C2B89"/>
    <w:rsid w:val="005C2FA7"/>
    <w:rsid w:val="005C386F"/>
    <w:rsid w:val="005C42AC"/>
    <w:rsid w:val="005C48E0"/>
    <w:rsid w:val="005C4D05"/>
    <w:rsid w:val="005C506B"/>
    <w:rsid w:val="005C71BF"/>
    <w:rsid w:val="005C723D"/>
    <w:rsid w:val="005C7601"/>
    <w:rsid w:val="005D1094"/>
    <w:rsid w:val="005D20E1"/>
    <w:rsid w:val="005D3394"/>
    <w:rsid w:val="005D3989"/>
    <w:rsid w:val="005D42FF"/>
    <w:rsid w:val="005E1731"/>
    <w:rsid w:val="005E2725"/>
    <w:rsid w:val="005E65FA"/>
    <w:rsid w:val="005F19CE"/>
    <w:rsid w:val="005F28F4"/>
    <w:rsid w:val="005F43BB"/>
    <w:rsid w:val="005F503E"/>
    <w:rsid w:val="005F5C7A"/>
    <w:rsid w:val="005F6CB3"/>
    <w:rsid w:val="005F7612"/>
    <w:rsid w:val="005F7663"/>
    <w:rsid w:val="005F7D63"/>
    <w:rsid w:val="006055D2"/>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1EF0"/>
    <w:rsid w:val="006434E3"/>
    <w:rsid w:val="0064366A"/>
    <w:rsid w:val="00646987"/>
    <w:rsid w:val="006506CF"/>
    <w:rsid w:val="00650A76"/>
    <w:rsid w:val="00650CD0"/>
    <w:rsid w:val="00650DA4"/>
    <w:rsid w:val="00651DA5"/>
    <w:rsid w:val="0065297D"/>
    <w:rsid w:val="00652D22"/>
    <w:rsid w:val="00654D7A"/>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1F9A"/>
    <w:rsid w:val="00693018"/>
    <w:rsid w:val="006A0059"/>
    <w:rsid w:val="006A7425"/>
    <w:rsid w:val="006B058A"/>
    <w:rsid w:val="006B1299"/>
    <w:rsid w:val="006B26D9"/>
    <w:rsid w:val="006B310C"/>
    <w:rsid w:val="006B664C"/>
    <w:rsid w:val="006C1125"/>
    <w:rsid w:val="006C1C83"/>
    <w:rsid w:val="006C3E78"/>
    <w:rsid w:val="006C5232"/>
    <w:rsid w:val="006C54E6"/>
    <w:rsid w:val="006C5762"/>
    <w:rsid w:val="006C690D"/>
    <w:rsid w:val="006D149F"/>
    <w:rsid w:val="006D3396"/>
    <w:rsid w:val="006D5AFF"/>
    <w:rsid w:val="006E050C"/>
    <w:rsid w:val="006E152B"/>
    <w:rsid w:val="006E36D1"/>
    <w:rsid w:val="006E4002"/>
    <w:rsid w:val="006E4DB6"/>
    <w:rsid w:val="006E5E5D"/>
    <w:rsid w:val="006E622E"/>
    <w:rsid w:val="006E7938"/>
    <w:rsid w:val="006E79FB"/>
    <w:rsid w:val="006F1109"/>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42AD"/>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188"/>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4D0"/>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004A"/>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6049"/>
    <w:rsid w:val="00847E8C"/>
    <w:rsid w:val="008505E1"/>
    <w:rsid w:val="00850B19"/>
    <w:rsid w:val="00852488"/>
    <w:rsid w:val="0085405E"/>
    <w:rsid w:val="008571DD"/>
    <w:rsid w:val="0085772E"/>
    <w:rsid w:val="00860344"/>
    <w:rsid w:val="00860E2C"/>
    <w:rsid w:val="00864BC6"/>
    <w:rsid w:val="00865EE6"/>
    <w:rsid w:val="008665E0"/>
    <w:rsid w:val="00867263"/>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1662"/>
    <w:rsid w:val="008920F2"/>
    <w:rsid w:val="0089348A"/>
    <w:rsid w:val="00894E9F"/>
    <w:rsid w:val="00895424"/>
    <w:rsid w:val="00896CEC"/>
    <w:rsid w:val="00897B90"/>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08A5"/>
    <w:rsid w:val="008E41D3"/>
    <w:rsid w:val="008E43F1"/>
    <w:rsid w:val="008E594F"/>
    <w:rsid w:val="008E7312"/>
    <w:rsid w:val="008F10EE"/>
    <w:rsid w:val="008F297F"/>
    <w:rsid w:val="008F447E"/>
    <w:rsid w:val="00900C92"/>
    <w:rsid w:val="00904B85"/>
    <w:rsid w:val="00904BA9"/>
    <w:rsid w:val="00904E7E"/>
    <w:rsid w:val="00907B49"/>
    <w:rsid w:val="0091086B"/>
    <w:rsid w:val="00911129"/>
    <w:rsid w:val="0091259F"/>
    <w:rsid w:val="00912842"/>
    <w:rsid w:val="00912EA3"/>
    <w:rsid w:val="00914B6E"/>
    <w:rsid w:val="009156A2"/>
    <w:rsid w:val="0091579A"/>
    <w:rsid w:val="0091615D"/>
    <w:rsid w:val="00916BAD"/>
    <w:rsid w:val="00923F7E"/>
    <w:rsid w:val="00924C96"/>
    <w:rsid w:val="00925030"/>
    <w:rsid w:val="00925B32"/>
    <w:rsid w:val="00930A64"/>
    <w:rsid w:val="00930BE5"/>
    <w:rsid w:val="00931403"/>
    <w:rsid w:val="00934991"/>
    <w:rsid w:val="009351A7"/>
    <w:rsid w:val="00937AA0"/>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988"/>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029"/>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B65CB"/>
    <w:rsid w:val="00AC0575"/>
    <w:rsid w:val="00AC0758"/>
    <w:rsid w:val="00AC0934"/>
    <w:rsid w:val="00AC1078"/>
    <w:rsid w:val="00AC17EE"/>
    <w:rsid w:val="00AC2BFD"/>
    <w:rsid w:val="00AC4DDD"/>
    <w:rsid w:val="00AC5A43"/>
    <w:rsid w:val="00AC5D2C"/>
    <w:rsid w:val="00AC6B6D"/>
    <w:rsid w:val="00AD3559"/>
    <w:rsid w:val="00AD3B05"/>
    <w:rsid w:val="00AD3C8E"/>
    <w:rsid w:val="00AD470D"/>
    <w:rsid w:val="00AD5193"/>
    <w:rsid w:val="00AD5EDE"/>
    <w:rsid w:val="00AD7390"/>
    <w:rsid w:val="00AD7E6F"/>
    <w:rsid w:val="00AE1BD8"/>
    <w:rsid w:val="00AE2817"/>
    <w:rsid w:val="00AE304B"/>
    <w:rsid w:val="00AE3D3E"/>
    <w:rsid w:val="00AE49B2"/>
    <w:rsid w:val="00AE6BEB"/>
    <w:rsid w:val="00AE76BF"/>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AD1"/>
    <w:rsid w:val="00B15D01"/>
    <w:rsid w:val="00B20EBF"/>
    <w:rsid w:val="00B24F44"/>
    <w:rsid w:val="00B25428"/>
    <w:rsid w:val="00B255BB"/>
    <w:rsid w:val="00B25E24"/>
    <w:rsid w:val="00B2609A"/>
    <w:rsid w:val="00B262F3"/>
    <w:rsid w:val="00B301B1"/>
    <w:rsid w:val="00B33D2B"/>
    <w:rsid w:val="00B353E7"/>
    <w:rsid w:val="00B35759"/>
    <w:rsid w:val="00B3619A"/>
    <w:rsid w:val="00B365B7"/>
    <w:rsid w:val="00B40BCA"/>
    <w:rsid w:val="00B4308D"/>
    <w:rsid w:val="00B432AA"/>
    <w:rsid w:val="00B440DA"/>
    <w:rsid w:val="00B4415A"/>
    <w:rsid w:val="00B503CD"/>
    <w:rsid w:val="00B5308A"/>
    <w:rsid w:val="00B548AB"/>
    <w:rsid w:val="00B54BBE"/>
    <w:rsid w:val="00B553F8"/>
    <w:rsid w:val="00B560B6"/>
    <w:rsid w:val="00B5630E"/>
    <w:rsid w:val="00B62FB6"/>
    <w:rsid w:val="00B635BF"/>
    <w:rsid w:val="00B7050A"/>
    <w:rsid w:val="00B70904"/>
    <w:rsid w:val="00B70A42"/>
    <w:rsid w:val="00B73EDB"/>
    <w:rsid w:val="00B74791"/>
    <w:rsid w:val="00B75632"/>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825"/>
    <w:rsid w:val="00BB6B2D"/>
    <w:rsid w:val="00BB7375"/>
    <w:rsid w:val="00BC0500"/>
    <w:rsid w:val="00BC44F5"/>
    <w:rsid w:val="00BC500B"/>
    <w:rsid w:val="00BC547C"/>
    <w:rsid w:val="00BC6B29"/>
    <w:rsid w:val="00BC798C"/>
    <w:rsid w:val="00BC7D11"/>
    <w:rsid w:val="00BD00FD"/>
    <w:rsid w:val="00BD15A2"/>
    <w:rsid w:val="00BD2153"/>
    <w:rsid w:val="00BD337A"/>
    <w:rsid w:val="00BD356B"/>
    <w:rsid w:val="00BD558D"/>
    <w:rsid w:val="00BD5CC3"/>
    <w:rsid w:val="00BE05E8"/>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29FC"/>
    <w:rsid w:val="00C14462"/>
    <w:rsid w:val="00C16542"/>
    <w:rsid w:val="00C22382"/>
    <w:rsid w:val="00C2355B"/>
    <w:rsid w:val="00C274A6"/>
    <w:rsid w:val="00C34201"/>
    <w:rsid w:val="00C35A38"/>
    <w:rsid w:val="00C35EC9"/>
    <w:rsid w:val="00C36807"/>
    <w:rsid w:val="00C37392"/>
    <w:rsid w:val="00C41545"/>
    <w:rsid w:val="00C4209D"/>
    <w:rsid w:val="00C4325A"/>
    <w:rsid w:val="00C432B3"/>
    <w:rsid w:val="00C4771E"/>
    <w:rsid w:val="00C47D15"/>
    <w:rsid w:val="00C50279"/>
    <w:rsid w:val="00C505EC"/>
    <w:rsid w:val="00C5165A"/>
    <w:rsid w:val="00C52841"/>
    <w:rsid w:val="00C54FC6"/>
    <w:rsid w:val="00C56F88"/>
    <w:rsid w:val="00C57B7E"/>
    <w:rsid w:val="00C60217"/>
    <w:rsid w:val="00C6260D"/>
    <w:rsid w:val="00C66D15"/>
    <w:rsid w:val="00C671D0"/>
    <w:rsid w:val="00C70449"/>
    <w:rsid w:val="00C7071B"/>
    <w:rsid w:val="00C7156C"/>
    <w:rsid w:val="00C73904"/>
    <w:rsid w:val="00C73BAE"/>
    <w:rsid w:val="00C73F7B"/>
    <w:rsid w:val="00C74055"/>
    <w:rsid w:val="00C7421D"/>
    <w:rsid w:val="00C76481"/>
    <w:rsid w:val="00C76812"/>
    <w:rsid w:val="00C779C1"/>
    <w:rsid w:val="00C83D88"/>
    <w:rsid w:val="00C84961"/>
    <w:rsid w:val="00C84B06"/>
    <w:rsid w:val="00C87100"/>
    <w:rsid w:val="00C87CAC"/>
    <w:rsid w:val="00C913A1"/>
    <w:rsid w:val="00C950D6"/>
    <w:rsid w:val="00C97646"/>
    <w:rsid w:val="00C97672"/>
    <w:rsid w:val="00CA121E"/>
    <w:rsid w:val="00CA2CAF"/>
    <w:rsid w:val="00CA55BD"/>
    <w:rsid w:val="00CA6F81"/>
    <w:rsid w:val="00CB0837"/>
    <w:rsid w:val="00CB2BFA"/>
    <w:rsid w:val="00CB3888"/>
    <w:rsid w:val="00CB400E"/>
    <w:rsid w:val="00CB48F6"/>
    <w:rsid w:val="00CB5F04"/>
    <w:rsid w:val="00CB67F1"/>
    <w:rsid w:val="00CB7DC8"/>
    <w:rsid w:val="00CC0EC0"/>
    <w:rsid w:val="00CC2CA4"/>
    <w:rsid w:val="00CC34DB"/>
    <w:rsid w:val="00CC51AC"/>
    <w:rsid w:val="00CC609D"/>
    <w:rsid w:val="00CC7044"/>
    <w:rsid w:val="00CD11FF"/>
    <w:rsid w:val="00CD15E7"/>
    <w:rsid w:val="00CD6EBB"/>
    <w:rsid w:val="00CE07A9"/>
    <w:rsid w:val="00CE1012"/>
    <w:rsid w:val="00CE2C19"/>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49FD"/>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44A"/>
    <w:rsid w:val="00D24621"/>
    <w:rsid w:val="00D2600F"/>
    <w:rsid w:val="00D30EEA"/>
    <w:rsid w:val="00D31534"/>
    <w:rsid w:val="00D32C1F"/>
    <w:rsid w:val="00D33FC2"/>
    <w:rsid w:val="00D37394"/>
    <w:rsid w:val="00D46699"/>
    <w:rsid w:val="00D47345"/>
    <w:rsid w:val="00D5073F"/>
    <w:rsid w:val="00D51573"/>
    <w:rsid w:val="00D5353A"/>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97069"/>
    <w:rsid w:val="00DA070D"/>
    <w:rsid w:val="00DA3B2F"/>
    <w:rsid w:val="00DA4731"/>
    <w:rsid w:val="00DA5040"/>
    <w:rsid w:val="00DA7D5F"/>
    <w:rsid w:val="00DB053E"/>
    <w:rsid w:val="00DB11B2"/>
    <w:rsid w:val="00DB161E"/>
    <w:rsid w:val="00DB31B5"/>
    <w:rsid w:val="00DB5BBA"/>
    <w:rsid w:val="00DB670D"/>
    <w:rsid w:val="00DC03DB"/>
    <w:rsid w:val="00DC1206"/>
    <w:rsid w:val="00DC1F64"/>
    <w:rsid w:val="00DC2BE8"/>
    <w:rsid w:val="00DC2BEC"/>
    <w:rsid w:val="00DC3256"/>
    <w:rsid w:val="00DC35A6"/>
    <w:rsid w:val="00DD090A"/>
    <w:rsid w:val="00DD2421"/>
    <w:rsid w:val="00DD3222"/>
    <w:rsid w:val="00DD3D81"/>
    <w:rsid w:val="00DD571C"/>
    <w:rsid w:val="00DD64E1"/>
    <w:rsid w:val="00DE039A"/>
    <w:rsid w:val="00DE0403"/>
    <w:rsid w:val="00DE4811"/>
    <w:rsid w:val="00DE50CE"/>
    <w:rsid w:val="00DE5458"/>
    <w:rsid w:val="00DE5EE6"/>
    <w:rsid w:val="00DE77EA"/>
    <w:rsid w:val="00DF0ABA"/>
    <w:rsid w:val="00DF1EEE"/>
    <w:rsid w:val="00DF6C58"/>
    <w:rsid w:val="00E001C1"/>
    <w:rsid w:val="00E039F3"/>
    <w:rsid w:val="00E03C30"/>
    <w:rsid w:val="00E078BD"/>
    <w:rsid w:val="00E078F8"/>
    <w:rsid w:val="00E10FB4"/>
    <w:rsid w:val="00E1142B"/>
    <w:rsid w:val="00E11DF5"/>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0AA2"/>
    <w:rsid w:val="00E428B3"/>
    <w:rsid w:val="00E44D19"/>
    <w:rsid w:val="00E47058"/>
    <w:rsid w:val="00E51372"/>
    <w:rsid w:val="00E51CAF"/>
    <w:rsid w:val="00E51E95"/>
    <w:rsid w:val="00E51F9D"/>
    <w:rsid w:val="00E51FFF"/>
    <w:rsid w:val="00E5202F"/>
    <w:rsid w:val="00E5211A"/>
    <w:rsid w:val="00E52CAC"/>
    <w:rsid w:val="00E53A9F"/>
    <w:rsid w:val="00E549AF"/>
    <w:rsid w:val="00E60540"/>
    <w:rsid w:val="00E61C74"/>
    <w:rsid w:val="00E62E7B"/>
    <w:rsid w:val="00E63D8F"/>
    <w:rsid w:val="00E706B6"/>
    <w:rsid w:val="00E73038"/>
    <w:rsid w:val="00E74835"/>
    <w:rsid w:val="00E76FF1"/>
    <w:rsid w:val="00E774FE"/>
    <w:rsid w:val="00E809A0"/>
    <w:rsid w:val="00E80AF7"/>
    <w:rsid w:val="00E80ED0"/>
    <w:rsid w:val="00E84407"/>
    <w:rsid w:val="00E854CA"/>
    <w:rsid w:val="00E85E54"/>
    <w:rsid w:val="00E86146"/>
    <w:rsid w:val="00E86A76"/>
    <w:rsid w:val="00E87A90"/>
    <w:rsid w:val="00E904D1"/>
    <w:rsid w:val="00E92425"/>
    <w:rsid w:val="00E92AD3"/>
    <w:rsid w:val="00E959EA"/>
    <w:rsid w:val="00E96237"/>
    <w:rsid w:val="00E965D7"/>
    <w:rsid w:val="00E96ADE"/>
    <w:rsid w:val="00E96D30"/>
    <w:rsid w:val="00EA1327"/>
    <w:rsid w:val="00EA4553"/>
    <w:rsid w:val="00EA623C"/>
    <w:rsid w:val="00EA6395"/>
    <w:rsid w:val="00EB044B"/>
    <w:rsid w:val="00EB067C"/>
    <w:rsid w:val="00EB3C66"/>
    <w:rsid w:val="00EB4B03"/>
    <w:rsid w:val="00EB5DEE"/>
    <w:rsid w:val="00EB64CB"/>
    <w:rsid w:val="00EB6D46"/>
    <w:rsid w:val="00EC07F3"/>
    <w:rsid w:val="00EC2E72"/>
    <w:rsid w:val="00EC3194"/>
    <w:rsid w:val="00EC3196"/>
    <w:rsid w:val="00EC518D"/>
    <w:rsid w:val="00EC57C9"/>
    <w:rsid w:val="00EC5817"/>
    <w:rsid w:val="00EC71D3"/>
    <w:rsid w:val="00ED02FE"/>
    <w:rsid w:val="00ED1EC9"/>
    <w:rsid w:val="00ED3737"/>
    <w:rsid w:val="00ED3856"/>
    <w:rsid w:val="00ED3E2E"/>
    <w:rsid w:val="00ED4CC8"/>
    <w:rsid w:val="00ED54A6"/>
    <w:rsid w:val="00ED6A08"/>
    <w:rsid w:val="00EE05EE"/>
    <w:rsid w:val="00EE0AE2"/>
    <w:rsid w:val="00EE35B4"/>
    <w:rsid w:val="00EE403E"/>
    <w:rsid w:val="00EE5643"/>
    <w:rsid w:val="00EE7CEC"/>
    <w:rsid w:val="00EF056E"/>
    <w:rsid w:val="00EF09B3"/>
    <w:rsid w:val="00EF0A3E"/>
    <w:rsid w:val="00EF5EC6"/>
    <w:rsid w:val="00EF646F"/>
    <w:rsid w:val="00EF791E"/>
    <w:rsid w:val="00EF7A63"/>
    <w:rsid w:val="00F00021"/>
    <w:rsid w:val="00F00D58"/>
    <w:rsid w:val="00F0226C"/>
    <w:rsid w:val="00F02522"/>
    <w:rsid w:val="00F02AE0"/>
    <w:rsid w:val="00F02BFF"/>
    <w:rsid w:val="00F034DC"/>
    <w:rsid w:val="00F03953"/>
    <w:rsid w:val="00F04841"/>
    <w:rsid w:val="00F0579A"/>
    <w:rsid w:val="00F0674D"/>
    <w:rsid w:val="00F10287"/>
    <w:rsid w:val="00F10C82"/>
    <w:rsid w:val="00F1181A"/>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569D8"/>
    <w:rsid w:val="00F604E3"/>
    <w:rsid w:val="00F610E6"/>
    <w:rsid w:val="00F61FCC"/>
    <w:rsid w:val="00F66036"/>
    <w:rsid w:val="00F6689D"/>
    <w:rsid w:val="00F67E23"/>
    <w:rsid w:val="00F71601"/>
    <w:rsid w:val="00F72C75"/>
    <w:rsid w:val="00F74033"/>
    <w:rsid w:val="00F759EB"/>
    <w:rsid w:val="00F763E8"/>
    <w:rsid w:val="00F772F7"/>
    <w:rsid w:val="00F81334"/>
    <w:rsid w:val="00F81A81"/>
    <w:rsid w:val="00F81CC5"/>
    <w:rsid w:val="00F869E0"/>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4AF6"/>
    <w:rsid w:val="00FE51E8"/>
    <w:rsid w:val="00FE602F"/>
    <w:rsid w:val="00FE7611"/>
    <w:rsid w:val="00FF0769"/>
    <w:rsid w:val="00FF0DB8"/>
    <w:rsid w:val="00FF1A76"/>
    <w:rsid w:val="00FF1C1D"/>
    <w:rsid w:val="00FF3330"/>
    <w:rsid w:val="00FF4080"/>
    <w:rsid w:val="00FF40A5"/>
    <w:rsid w:val="00FF48DA"/>
    <w:rsid w:val="00FF4AC6"/>
    <w:rsid w:val="00FF5E19"/>
    <w:rsid w:val="00FF61AD"/>
    <w:rsid w:val="00FF76BD"/>
    <w:rsid w:val="09381D73"/>
    <w:rsid w:val="0B2174DB"/>
    <w:rsid w:val="0F6F6C66"/>
    <w:rsid w:val="13B44547"/>
    <w:rsid w:val="2E4B0F33"/>
    <w:rsid w:val="33A8598C"/>
    <w:rsid w:val="48E42528"/>
    <w:rsid w:val="62516D68"/>
    <w:rsid w:val="7DF4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字符"/>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字符"/>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字符"/>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0"/>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字符"/>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Revision"/>
    <w:hidden/>
    <w:semiHidden/>
    <w:qFormat/>
    <w:uiPriority w:val="99"/>
    <w:rPr>
      <w:rFonts w:ascii="Times New Roman" w:hAnsi="Times New Roman" w:eastAsia="宋体" w:cs="Times New Roman"/>
      <w:sz w:val="21"/>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590</Words>
  <Characters>3366</Characters>
  <Lines>28</Lines>
  <Paragraphs>7</Paragraphs>
  <TotalTime>10</TotalTime>
  <ScaleCrop>false</ScaleCrop>
  <LinksUpToDate>false</LinksUpToDate>
  <CharactersWithSpaces>3949</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2022-01-12T04:03:00Z</dcterms:created>
  <dc:creator>Lilly</dc:creator>
  <cp:lastModifiedBy>Admin</cp:lastModifiedBy>
  <cp:lastPrinted>2017-06-22T01:53:00Z</cp:lastPrinted>
  <dcterms:modified xsi:type="dcterms:W3CDTF">2022-01-28T01:17:43Z</dcterms:modified>
  <dc:title>生效期：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5D58211650864149918E422ECC4F79ED</vt:lpwstr>
  </property>
</Properties>
</file>