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666358"/>
      <w:bookmarkStart w:id="1" w:name="_Toc484532399"/>
      <w:bookmarkStart w:id="2" w:name="_Toc482717189"/>
      <w:bookmarkStart w:id="3" w:name="_Toc483227223"/>
      <w:bookmarkStart w:id="4" w:name="_Toc483400307"/>
    </w:p>
    <w:p>
      <w:pPr>
        <w:spacing w:after="158" w:afterLines="50"/>
        <w:jc w:val="center"/>
        <w:rPr>
          <w:b/>
          <w:szCs w:val="21"/>
          <w:lang w:eastAsia="zh-CN"/>
        </w:rPr>
      </w:pPr>
      <w:permStart w:id="0" w:edGrp="everyone"/>
      <w:r>
        <w:rPr>
          <w:rFonts w:hint="eastAsia"/>
          <w:b/>
          <w:sz w:val="28"/>
          <w:szCs w:val="28"/>
          <w:lang w:val="en-US" w:eastAsia="zh-CN"/>
        </w:rPr>
        <w:t>综合楼B区三号电梯</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keepNext w:val="0"/>
        <w:keepLines w:val="0"/>
        <w:widowControl w:val="0"/>
        <w:spacing w:after="158" w:afterLines="50" w:line="240" w:lineRule="auto"/>
        <w:jc w:val="center"/>
        <w:rPr>
          <w:sz w:val="21"/>
          <w:szCs w:val="21"/>
          <w:lang w:val="zh-CN" w:eastAsia="zh-CN"/>
        </w:rPr>
      </w:pPr>
      <w:permStart w:id="1" w:edGrp="everyone"/>
      <w:permEnd w:id="1"/>
      <w:r>
        <w:rPr>
          <w:sz w:val="21"/>
          <w:szCs w:val="21"/>
          <w:lang w:val="zh-CN" w:eastAsia="zh-CN"/>
        </w:rPr>
        <w:t>目录</w:t>
      </w:r>
    </w:p>
    <w:p>
      <w:pPr>
        <w:rPr>
          <w:i/>
          <w:color w:val="00B0F0"/>
          <w:lang w:val="zh-CN" w:eastAsia="zh-CN"/>
        </w:rPr>
      </w:pPr>
      <w:permStart w:id="2" w:edGrp="everyone"/>
    </w:p>
    <w:p>
      <w:pPr>
        <w:pStyle w:val="15"/>
        <w:rPr>
          <w:b w:val="0"/>
          <w:bCs w:val="0"/>
          <w:caps w:val="0"/>
          <w:szCs w:val="22"/>
        </w:rPr>
      </w:pPr>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3"/>
        </w:rPr>
        <w:t>修订历史</w:t>
      </w:r>
      <w:r>
        <w:tab/>
      </w:r>
      <w:r>
        <w:fldChar w:fldCharType="begin"/>
      </w:r>
      <w:r>
        <w:instrText xml:space="preserve"> PAGEREF _Toc522716114 \h </w:instrText>
      </w:r>
      <w:r>
        <w:fldChar w:fldCharType="separate"/>
      </w:r>
      <w:r>
        <w:t>3</w:t>
      </w:r>
      <w:r>
        <w:fldChar w:fldCharType="end"/>
      </w:r>
      <w:r>
        <w:fldChar w:fldCharType="end"/>
      </w:r>
    </w:p>
    <w:p>
      <w:pPr>
        <w:pStyle w:val="15"/>
        <w:rPr>
          <w:b w:val="0"/>
          <w:bCs w:val="0"/>
          <w:caps w:val="0"/>
          <w:szCs w:val="22"/>
        </w:rPr>
      </w:pPr>
      <w:r>
        <w:fldChar w:fldCharType="begin"/>
      </w:r>
      <w:r>
        <w:instrText xml:space="preserve"> HYPERLINK \l "_Toc522716115" </w:instrText>
      </w:r>
      <w:r>
        <w:fldChar w:fldCharType="separate"/>
      </w:r>
      <w:r>
        <w:rPr>
          <w:rStyle w:val="23"/>
        </w:rPr>
        <w:t>1</w:t>
      </w:r>
      <w:r>
        <w:rPr>
          <w:b w:val="0"/>
          <w:bCs w:val="0"/>
          <w:caps w:val="0"/>
          <w:szCs w:val="22"/>
        </w:rPr>
        <w:tab/>
      </w:r>
      <w:r>
        <w:rPr>
          <w:rStyle w:val="23"/>
        </w:rPr>
        <w:t>目的</w:t>
      </w:r>
      <w:r>
        <w:tab/>
      </w:r>
      <w:r>
        <w:fldChar w:fldCharType="begin"/>
      </w:r>
      <w:r>
        <w:instrText xml:space="preserve"> PAGEREF _Toc522716115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"_Toc522716116" </w:instrText>
      </w:r>
      <w:r>
        <w:fldChar w:fldCharType="separate"/>
      </w:r>
      <w:r>
        <w:rPr>
          <w:rStyle w:val="23"/>
        </w:rPr>
        <w:t>2</w:t>
      </w:r>
      <w:r>
        <w:rPr>
          <w:b w:val="0"/>
          <w:bCs w:val="0"/>
          <w:caps w:val="0"/>
          <w:szCs w:val="22"/>
        </w:rPr>
        <w:tab/>
      </w:r>
      <w:r>
        <w:rPr>
          <w:rStyle w:val="23"/>
        </w:rPr>
        <w:t>范围</w:t>
      </w:r>
      <w:r>
        <w:tab/>
      </w:r>
      <w:r>
        <w:fldChar w:fldCharType="begin"/>
      </w:r>
      <w:r>
        <w:instrText xml:space="preserve"> PAGEREF _Toc522716116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"_Toc522716117" </w:instrText>
      </w:r>
      <w:r>
        <w:fldChar w:fldCharType="separate"/>
      </w:r>
      <w:r>
        <w:rPr>
          <w:rStyle w:val="23"/>
        </w:rPr>
        <w:t>3</w:t>
      </w:r>
      <w:r>
        <w:rPr>
          <w:b w:val="0"/>
          <w:bCs w:val="0"/>
          <w:caps w:val="0"/>
          <w:szCs w:val="22"/>
        </w:rPr>
        <w:tab/>
      </w:r>
      <w:r>
        <w:rPr>
          <w:rStyle w:val="23"/>
        </w:rPr>
        <w:t>参考文件</w:t>
      </w:r>
      <w:r>
        <w:tab/>
      </w:r>
      <w:r>
        <w:fldChar w:fldCharType="begin"/>
      </w:r>
      <w:r>
        <w:instrText xml:space="preserve"> PAGEREF _Toc522716117 \h </w:instrText>
      </w:r>
      <w:r>
        <w:fldChar w:fldCharType="separate"/>
      </w:r>
      <w:r>
        <w:t>4</w:t>
      </w:r>
      <w:r>
        <w:fldChar w:fldCharType="end"/>
      </w:r>
      <w:r>
        <w:fldChar w:fldCharType="end"/>
      </w:r>
    </w:p>
    <w:p>
      <w:pPr>
        <w:pStyle w:val="15"/>
        <w:rPr>
          <w:b w:val="0"/>
          <w:bCs w:val="0"/>
          <w:caps w:val="0"/>
          <w:szCs w:val="22"/>
        </w:rPr>
      </w:pPr>
      <w:r>
        <w:fldChar w:fldCharType="begin"/>
      </w:r>
      <w:r>
        <w:instrText xml:space="preserve"> HYPERLINK \l "_Toc522716118" </w:instrText>
      </w:r>
      <w:r>
        <w:fldChar w:fldCharType="separate"/>
      </w:r>
      <w:r>
        <w:rPr>
          <w:rStyle w:val="23"/>
        </w:rPr>
        <w:t>4</w:t>
      </w:r>
      <w:r>
        <w:rPr>
          <w:b w:val="0"/>
          <w:bCs w:val="0"/>
          <w:caps w:val="0"/>
          <w:szCs w:val="22"/>
        </w:rPr>
        <w:tab/>
      </w:r>
      <w:r>
        <w:rPr>
          <w:rStyle w:val="23"/>
        </w:rPr>
        <w:t>职责</w:t>
      </w:r>
      <w:r>
        <w:tab/>
      </w:r>
      <w:r>
        <w:fldChar w:fldCharType="begin"/>
      </w:r>
      <w:r>
        <w:instrText xml:space="preserve"> PAGEREF _Toc522716118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"_Toc522716119" </w:instrText>
      </w:r>
      <w:r>
        <w:fldChar w:fldCharType="separate"/>
      </w:r>
      <w:r>
        <w:rPr>
          <w:rStyle w:val="23"/>
        </w:rPr>
        <w:t>5</w:t>
      </w:r>
      <w:r>
        <w:rPr>
          <w:b w:val="0"/>
          <w:bCs w:val="0"/>
          <w:caps w:val="0"/>
          <w:szCs w:val="22"/>
        </w:rPr>
        <w:tab/>
      </w:r>
      <w:r>
        <w:rPr>
          <w:rStyle w:val="23"/>
        </w:rPr>
        <w:t>系统描述</w:t>
      </w:r>
      <w:r>
        <w:tab/>
      </w:r>
      <w:r>
        <w:fldChar w:fldCharType="begin"/>
      </w:r>
      <w:r>
        <w:instrText xml:space="preserve"> PAGEREF _Toc522716119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"_Toc522716120" </w:instrText>
      </w:r>
      <w:r>
        <w:fldChar w:fldCharType="separate"/>
      </w:r>
      <w:r>
        <w:rPr>
          <w:rStyle w:val="23"/>
        </w:rPr>
        <w:t>6</w:t>
      </w:r>
      <w:r>
        <w:rPr>
          <w:b w:val="0"/>
          <w:bCs w:val="0"/>
          <w:caps w:val="0"/>
          <w:szCs w:val="22"/>
        </w:rPr>
        <w:tab/>
      </w:r>
      <w:r>
        <w:rPr>
          <w:rStyle w:val="23"/>
        </w:rPr>
        <w:t>安装要求</w:t>
      </w:r>
      <w:r>
        <w:tab/>
      </w:r>
      <w:r>
        <w:fldChar w:fldCharType="begin"/>
      </w:r>
      <w:r>
        <w:instrText xml:space="preserve"> PAGEREF _Toc522716120 \h </w:instrText>
      </w:r>
      <w:r>
        <w:fldChar w:fldCharType="separate"/>
      </w:r>
      <w:r>
        <w:t>5</w:t>
      </w:r>
      <w:r>
        <w:fldChar w:fldCharType="end"/>
      </w:r>
      <w:r>
        <w:fldChar w:fldCharType="end"/>
      </w:r>
    </w:p>
    <w:p>
      <w:pPr>
        <w:pStyle w:val="15"/>
        <w:rPr>
          <w:b w:val="0"/>
          <w:bCs w:val="0"/>
          <w:caps w:val="0"/>
          <w:szCs w:val="22"/>
        </w:rPr>
      </w:pPr>
      <w:r>
        <w:fldChar w:fldCharType="begin"/>
      </w:r>
      <w:r>
        <w:instrText xml:space="preserve"> HYPERLINK \l "_Toc522716121" </w:instrText>
      </w:r>
      <w:r>
        <w:fldChar w:fldCharType="separate"/>
      </w:r>
      <w:r>
        <w:rPr>
          <w:rStyle w:val="23"/>
        </w:rPr>
        <w:t>7</w:t>
      </w:r>
      <w:r>
        <w:rPr>
          <w:b w:val="0"/>
          <w:bCs w:val="0"/>
          <w:caps w:val="0"/>
          <w:szCs w:val="22"/>
        </w:rPr>
        <w:tab/>
      </w:r>
      <w:r>
        <w:rPr>
          <w:rStyle w:val="23"/>
        </w:rPr>
        <w:t>运行要求</w:t>
      </w:r>
      <w:r>
        <w:tab/>
      </w:r>
      <w:r>
        <w:fldChar w:fldCharType="begin"/>
      </w:r>
      <w:r>
        <w:instrText xml:space="preserve"> PAGEREF _Toc522716121 \h </w:instrText>
      </w:r>
      <w:r>
        <w:fldChar w:fldCharType="separate"/>
      </w:r>
      <w:r>
        <w:t>7</w:t>
      </w:r>
      <w:r>
        <w:fldChar w:fldCharType="end"/>
      </w:r>
      <w:r>
        <w:fldChar w:fldCharType="end"/>
      </w:r>
    </w:p>
    <w:p>
      <w:pPr>
        <w:pStyle w:val="15"/>
        <w:rPr>
          <w:b w:val="0"/>
          <w:bCs w:val="0"/>
          <w:caps w:val="0"/>
          <w:szCs w:val="22"/>
        </w:rPr>
      </w:pPr>
      <w:r>
        <w:fldChar w:fldCharType="begin"/>
      </w:r>
      <w:r>
        <w:instrText xml:space="preserve"> HYPERLINK \l "_Toc522716122" </w:instrText>
      </w:r>
      <w:r>
        <w:fldChar w:fldCharType="separate"/>
      </w:r>
      <w:r>
        <w:rPr>
          <w:rStyle w:val="23"/>
        </w:rPr>
        <w:t>8</w:t>
      </w:r>
      <w:r>
        <w:rPr>
          <w:b w:val="0"/>
          <w:bCs w:val="0"/>
          <w:caps w:val="0"/>
          <w:szCs w:val="22"/>
        </w:rPr>
        <w:tab/>
      </w:r>
      <w:r>
        <w:rPr>
          <w:rStyle w:val="23"/>
        </w:rPr>
        <w:t>电气、自动控制要求</w:t>
      </w:r>
      <w:r>
        <w:tab/>
      </w:r>
      <w:r>
        <w:fldChar w:fldCharType="begin"/>
      </w:r>
      <w:r>
        <w:instrText xml:space="preserve"> PAGEREF _Toc522716122 \h </w:instrText>
      </w:r>
      <w:r>
        <w:fldChar w:fldCharType="separate"/>
      </w:r>
      <w:r>
        <w:t>8</w:t>
      </w:r>
      <w:r>
        <w:fldChar w:fldCharType="end"/>
      </w:r>
      <w:r>
        <w:fldChar w:fldCharType="end"/>
      </w:r>
    </w:p>
    <w:p>
      <w:pPr>
        <w:pStyle w:val="15"/>
        <w:rPr>
          <w:b w:val="0"/>
          <w:bCs w:val="0"/>
          <w:caps w:val="0"/>
          <w:szCs w:val="22"/>
        </w:rPr>
      </w:pPr>
      <w:r>
        <w:fldChar w:fldCharType="begin"/>
      </w:r>
      <w:r>
        <w:instrText xml:space="preserve"> HYPERLINK \l "_Toc522716123" </w:instrText>
      </w:r>
      <w:r>
        <w:fldChar w:fldCharType="separate"/>
      </w:r>
      <w:r>
        <w:rPr>
          <w:rStyle w:val="23"/>
        </w:rPr>
        <w:t>9</w:t>
      </w:r>
      <w:r>
        <w:rPr>
          <w:b w:val="0"/>
          <w:bCs w:val="0"/>
          <w:caps w:val="0"/>
          <w:szCs w:val="22"/>
        </w:rPr>
        <w:tab/>
      </w:r>
      <w:r>
        <w:rPr>
          <w:rStyle w:val="23"/>
        </w:rPr>
        <w:t>安全要求</w:t>
      </w:r>
      <w:r>
        <w:tab/>
      </w:r>
      <w:r>
        <w:rPr>
          <w:rFonts w:hint="eastAsia"/>
        </w:rPr>
        <w:t>8</w:t>
      </w:r>
      <w:r>
        <w:rPr>
          <w:rFonts w:hint="eastAsia"/>
        </w:rPr>
        <w:fldChar w:fldCharType="end"/>
      </w:r>
    </w:p>
    <w:p>
      <w:pPr>
        <w:pStyle w:val="15"/>
        <w:rPr>
          <w:b w:val="0"/>
          <w:bCs w:val="0"/>
          <w:caps w:val="0"/>
          <w:szCs w:val="22"/>
        </w:rPr>
      </w:pPr>
      <w:r>
        <w:fldChar w:fldCharType="begin"/>
      </w:r>
      <w:r>
        <w:instrText xml:space="preserve"> HYPERLINK \l "_Toc522716124" </w:instrText>
      </w:r>
      <w:r>
        <w:fldChar w:fldCharType="separate"/>
      </w:r>
      <w:r>
        <w:rPr>
          <w:rStyle w:val="23"/>
        </w:rPr>
        <w:t>10</w:t>
      </w:r>
      <w:r>
        <w:rPr>
          <w:b w:val="0"/>
          <w:bCs w:val="0"/>
          <w:caps w:val="0"/>
          <w:szCs w:val="22"/>
        </w:rPr>
        <w:tab/>
      </w:r>
      <w:r>
        <w:rPr>
          <w:rStyle w:val="23"/>
        </w:rPr>
        <w:t>文件要求</w:t>
      </w:r>
      <w:r>
        <w:tab/>
      </w:r>
      <w:r>
        <w:rPr>
          <w:rFonts w:hint="eastAsia"/>
        </w:rPr>
        <w:t>8</w:t>
      </w:r>
      <w:r>
        <w:rPr>
          <w:rFonts w:hint="eastAsia"/>
        </w:rPr>
        <w:fldChar w:fldCharType="end"/>
      </w:r>
    </w:p>
    <w:p>
      <w:pPr>
        <w:pStyle w:val="15"/>
        <w:rPr>
          <w:b w:val="0"/>
          <w:bCs w:val="0"/>
          <w:caps w:val="0"/>
          <w:szCs w:val="22"/>
        </w:rPr>
      </w:pPr>
      <w:r>
        <w:fldChar w:fldCharType="begin"/>
      </w:r>
      <w:r>
        <w:instrText xml:space="preserve"> HYPERLINK \l "_Toc522716125" </w:instrText>
      </w:r>
      <w:r>
        <w:fldChar w:fldCharType="separate"/>
      </w:r>
      <w:r>
        <w:rPr>
          <w:rStyle w:val="23"/>
        </w:rPr>
        <w:t>11</w:t>
      </w:r>
      <w:r>
        <w:rPr>
          <w:b w:val="0"/>
          <w:bCs w:val="0"/>
          <w:caps w:val="0"/>
          <w:szCs w:val="22"/>
        </w:rPr>
        <w:tab/>
      </w:r>
      <w:r>
        <w:rPr>
          <w:rStyle w:val="23"/>
        </w:rPr>
        <w:t>服务要求</w:t>
      </w:r>
      <w:r>
        <w:tab/>
      </w:r>
      <w:r>
        <w:rPr>
          <w:rFonts w:hint="eastAsia"/>
        </w:rPr>
        <w:t>10</w:t>
      </w:r>
      <w:r>
        <w:rPr>
          <w:rFonts w:hint="eastAsia"/>
        </w:rPr>
        <w:fldChar w:fldCharType="end"/>
      </w:r>
    </w:p>
    <w:p>
      <w:pPr>
        <w:pStyle w:val="15"/>
        <w:rPr>
          <w:b w:val="0"/>
          <w:bCs w:val="0"/>
          <w:caps w:val="0"/>
          <w:szCs w:val="22"/>
        </w:rPr>
      </w:pPr>
      <w:r>
        <w:fldChar w:fldCharType="begin"/>
      </w:r>
      <w:r>
        <w:instrText xml:space="preserve"> HYPERLINK \l "_Toc522716126" </w:instrText>
      </w:r>
      <w:r>
        <w:fldChar w:fldCharType="separate"/>
      </w:r>
      <w:r>
        <w:rPr>
          <w:rStyle w:val="23"/>
        </w:rPr>
        <w:t>12</w:t>
      </w:r>
      <w:r>
        <w:rPr>
          <w:b w:val="0"/>
          <w:bCs w:val="0"/>
          <w:caps w:val="0"/>
          <w:szCs w:val="22"/>
        </w:rPr>
        <w:tab/>
      </w:r>
      <w:r>
        <w:rPr>
          <w:rStyle w:val="23"/>
        </w:rPr>
        <w:t>附件</w:t>
      </w:r>
      <w:r>
        <w:tab/>
      </w:r>
      <w:r>
        <w:rPr>
          <w:rFonts w:hint="eastAsia"/>
        </w:rPr>
        <w:t>1</w:t>
      </w:r>
      <w:r>
        <w:t>2</w:t>
      </w:r>
      <w:r>
        <w:fldChar w:fldCharType="end"/>
      </w:r>
    </w:p>
    <w:p>
      <w:r>
        <w:fldChar w:fldCharType="end"/>
      </w:r>
      <w:permEnd w:id="2"/>
    </w:p>
    <w:p>
      <w:pPr>
        <w:rPr>
          <w:lang w:val="en-US" w:eastAsia="zh-CN"/>
        </w:rPr>
      </w:pPr>
      <w:r>
        <w:rPr>
          <w:lang w:val="en-US" w:eastAsia="zh-CN"/>
        </w:rPr>
        <w:br w:type="page"/>
      </w:r>
      <w:bookmarkStart w:id="5" w:name="_Toc522107734"/>
    </w:p>
    <w:p>
      <w:pPr>
        <w:rPr>
          <w:lang w:val="en-US" w:eastAsia="zh-CN"/>
        </w:rPr>
      </w:pPr>
    </w:p>
    <w:bookmarkEnd w:id="5"/>
    <w:p>
      <w:pPr>
        <w:pStyle w:val="31"/>
        <w:numPr>
          <w:ilvl w:val="0"/>
          <w:numId w:val="3"/>
        </w:numPr>
        <w:spacing w:after="158" w:afterLines="50"/>
        <w:ind w:left="426" w:hanging="426" w:hangingChars="202"/>
        <w:outlineLvl w:val="0"/>
        <w:rPr>
          <w:rFonts w:ascii="Times New Roman" w:hAnsi="Times New Roman"/>
          <w:b/>
        </w:rPr>
      </w:pPr>
      <w:bookmarkStart w:id="6" w:name="_Toc522716115"/>
      <w:bookmarkStart w:id="7" w:name="_Toc522107735"/>
      <w:r>
        <w:rPr>
          <w:rFonts w:ascii="Times New Roman" w:hAnsi="Times New Roman"/>
          <w:b/>
        </w:rPr>
        <w:t>目的</w:t>
      </w:r>
      <w:bookmarkEnd w:id="6"/>
      <w:bookmarkEnd w:id="7"/>
    </w:p>
    <w:p>
      <w:pPr>
        <w:pStyle w:val="41"/>
        <w:spacing w:before="0" w:line="360" w:lineRule="auto"/>
        <w:ind w:left="357"/>
        <w:jc w:val="left"/>
        <w:rPr>
          <w:szCs w:val="21"/>
          <w:lang w:eastAsia="zh-CN"/>
        </w:rPr>
      </w:pPr>
      <w:bookmarkStart w:id="8" w:name="_Toc482370061"/>
      <w:bookmarkStart w:id="9" w:name="_Toc482370141"/>
      <w:bookmarkStart w:id="10" w:name="_Toc482370757"/>
      <w:bookmarkStart w:id="11" w:name="_Toc481702475"/>
      <w:bookmarkStart w:id="12" w:name="_Toc482360281"/>
      <w:bookmarkStart w:id="13" w:name="_Toc482625279"/>
      <w:bookmarkStart w:id="14" w:name="_Toc482369805"/>
      <w:bookmarkStart w:id="15" w:name="_Toc482370349"/>
      <w:bookmarkStart w:id="16" w:name="_Toc482359936"/>
      <w:r>
        <w:rPr>
          <w:szCs w:val="21"/>
          <w:lang w:eastAsia="zh-CN"/>
        </w:rPr>
        <w:t>本文件的目的是描述武汉生物制品研究所有限责任公司</w:t>
      </w:r>
      <w:permStart w:id="3" w:edGrp="everyone"/>
      <w:r>
        <w:rPr>
          <w:rFonts w:hint="eastAsia"/>
          <w:szCs w:val="21"/>
          <w:lang w:eastAsia="zh-CN"/>
        </w:rPr>
        <w:t>综合楼B区三号电梯</w:t>
      </w:r>
      <w:permEnd w:id="3"/>
      <w:r>
        <w:rPr>
          <w:szCs w:val="21"/>
          <w:lang w:eastAsia="zh-CN"/>
        </w:rPr>
        <w:t>的用户需求说明（URS），以确保最终用户的需求在项目设计阶段得以实现，并作为后续验证工作的基础。</w:t>
      </w:r>
    </w:p>
    <w:p>
      <w:pPr>
        <w:pStyle w:val="41"/>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7" w:name="_Toc522107736"/>
      <w:bookmarkStart w:id="18" w:name="_Toc522716116"/>
      <w:r>
        <w:rPr>
          <w:rFonts w:ascii="Times New Roman" w:hAnsi="Times New Roman"/>
          <w:b/>
        </w:rPr>
        <w:t>范围</w:t>
      </w:r>
      <w:bookmarkEnd w:id="17"/>
      <w:bookmarkEnd w:id="18"/>
    </w:p>
    <w:p>
      <w:pPr>
        <w:pStyle w:val="41"/>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eastAsia="zh-CN"/>
        </w:rPr>
        <w:t>综合楼B区三号电梯</w:t>
      </w:r>
      <w:permEnd w:id="4"/>
      <w:r>
        <w:rPr>
          <w:szCs w:val="21"/>
          <w:lang w:eastAsia="zh-CN"/>
        </w:rPr>
        <w:t>。</w:t>
      </w:r>
      <w:bookmarkEnd w:id="8"/>
      <w:bookmarkEnd w:id="9"/>
      <w:bookmarkEnd w:id="10"/>
      <w:bookmarkEnd w:id="11"/>
      <w:bookmarkEnd w:id="12"/>
      <w:bookmarkEnd w:id="13"/>
      <w:bookmarkEnd w:id="14"/>
      <w:bookmarkEnd w:id="15"/>
      <w:bookmarkEnd w:id="16"/>
    </w:p>
    <w:p>
      <w:pPr>
        <w:pStyle w:val="41"/>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9" w:name="_Toc522716117"/>
      <w:bookmarkStart w:id="20" w:name="_Toc522107737"/>
      <w:r>
        <w:rPr>
          <w:rFonts w:ascii="Times New Roman" w:hAnsi="Times New Roman"/>
          <w:b/>
        </w:rPr>
        <w:t>参考文件</w:t>
      </w:r>
      <w:bookmarkEnd w:id="19"/>
      <w:bookmarkEnd w:id="20"/>
    </w:p>
    <w:p>
      <w:pPr>
        <w:pStyle w:val="41"/>
        <w:numPr>
          <w:ilvl w:val="0"/>
          <w:numId w:val="4"/>
        </w:numPr>
        <w:spacing w:before="0" w:line="360" w:lineRule="auto"/>
        <w:jc w:val="left"/>
        <w:rPr>
          <w:color w:val="000000"/>
          <w:szCs w:val="21"/>
          <w:lang w:eastAsia="zh-CN"/>
        </w:rPr>
      </w:pPr>
      <w:r>
        <w:rPr>
          <w:color w:val="000000"/>
          <w:szCs w:val="21"/>
          <w:lang w:eastAsia="zh-CN"/>
        </w:rPr>
        <w:t>GMP法规指南和SOP</w:t>
      </w:r>
    </w:p>
    <w:p>
      <w:pPr>
        <w:pStyle w:val="41"/>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1"/>
        <w:numPr>
          <w:ilvl w:val="0"/>
          <w:numId w:val="5"/>
        </w:numPr>
        <w:spacing w:line="360" w:lineRule="auto"/>
        <w:ind w:firstLineChars="0"/>
        <w:rPr>
          <w:rFonts w:ascii="宋体" w:hAnsi="宋体" w:cs="宋体"/>
          <w:szCs w:val="21"/>
        </w:rPr>
      </w:pPr>
      <w:permStart w:id="5" w:edGrp="everyone"/>
      <w:r>
        <w:rPr>
          <w:rFonts w:hint="eastAsia" w:ascii="宋体" w:hAnsi="宋体" w:cs="宋体"/>
          <w:szCs w:val="21"/>
        </w:rPr>
        <w:t>中华人民共和国国家标准“电梯制造与安装安全规范”（GB7588-2003）</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中华人民共和国国家标准“电梯技术条件”（GB/T 10058-2009）</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中华人民共和国国家标准“电梯安装验收规范”（GB/T 10060-2011）</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中华人民共和国国家标准“电梯试验方法”（GB/T 10059-2009）</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中华人民共和国国家标准“杂物电梯制造与安装安全规范” (GB 25194-2010)</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 电梯工程施工质量验收规范” (GB 50310-2002)</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 电梯主参数及轿厢、井道、机房的型式与尺寸” (GB/T 7025.1-2008)</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中华人民共和国冶金标准“ 电梯导轨用热轧型钢” (YB/T 157-1999)</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中华人民共和国冶金标准“ 电梯钢丝绳用钢丝” (YB/T 5198-2015)</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中华人民共和国国家标准“电梯安装工程质量检验评定标准”（试用本）</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用于建筑物电气装置的最新的电气工程师学会条例，及其所有修订版本</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中华人民共和国国家标准“电气装置安装工程及施工验收规范”（GB50303-2015）</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湖北省有关电梯工程的规范及标准</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有关的中国国家消防规范及湖北省消防局有关部门工作准则</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电力供应公司的供应规则与条例</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任何其它有关的中国规范</w:t>
      </w:r>
    </w:p>
    <w:p>
      <w:pPr>
        <w:pStyle w:val="31"/>
        <w:numPr>
          <w:ilvl w:val="0"/>
          <w:numId w:val="5"/>
        </w:numPr>
        <w:spacing w:line="360" w:lineRule="auto"/>
        <w:ind w:firstLineChars="0"/>
        <w:rPr>
          <w:rFonts w:ascii="宋体" w:hAnsi="宋体" w:cs="宋体"/>
          <w:szCs w:val="21"/>
        </w:rPr>
      </w:pPr>
      <w:r>
        <w:rPr>
          <w:rFonts w:hint="eastAsia" w:ascii="宋体" w:hAnsi="宋体" w:cs="宋体"/>
          <w:szCs w:val="21"/>
        </w:rPr>
        <w:t>上述标准均应是最新且已实施的版本。如有相应规范版次更新，则以新版为准。</w:t>
      </w:r>
    </w:p>
    <w:permEnd w:id="5"/>
    <w:p>
      <w:pPr>
        <w:pStyle w:val="41"/>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1"/>
        <w:numPr>
          <w:ilvl w:val="0"/>
          <w:numId w:val="5"/>
        </w:numPr>
        <w:spacing w:line="360" w:lineRule="auto"/>
        <w:ind w:firstLineChars="0"/>
        <w:rPr>
          <w:rFonts w:ascii="宋体" w:hAnsi="宋体" w:cs="宋体"/>
          <w:szCs w:val="24"/>
        </w:rPr>
      </w:pPr>
      <w:permStart w:id="6" w:edGrp="everyone"/>
      <w:r>
        <w:rPr>
          <w:rFonts w:hint="eastAsia" w:ascii="宋体" w:hAnsi="宋体" w:cs="宋体"/>
          <w:szCs w:val="24"/>
        </w:rPr>
        <w:t>电气安全应符合GB4793.1和GB4793.4的要求。</w:t>
      </w:r>
    </w:p>
    <w:permEnd w:id="6"/>
    <w:p>
      <w:pPr>
        <w:pStyle w:val="41"/>
        <w:spacing w:before="0" w:line="360" w:lineRule="auto"/>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21" w:name="_Toc522716119"/>
      <w:bookmarkStart w:id="22" w:name="_Toc522107739"/>
      <w:r>
        <w:rPr>
          <w:rFonts w:ascii="Times New Roman" w:hAnsi="Times New Roman"/>
          <w:b/>
        </w:rPr>
        <w:t>系统描述</w:t>
      </w:r>
      <w:bookmarkEnd w:id="21"/>
      <w:bookmarkEnd w:id="22"/>
    </w:p>
    <w:p>
      <w:pPr>
        <w:pStyle w:val="41"/>
        <w:spacing w:before="0" w:line="360" w:lineRule="auto"/>
        <w:ind w:left="357"/>
        <w:jc w:val="left"/>
        <w:rPr>
          <w:i/>
          <w:color w:val="4472C4"/>
          <w:szCs w:val="21"/>
          <w:lang w:eastAsia="zh-CN"/>
        </w:rPr>
      </w:pPr>
      <w:permStart w:id="7" w:edGrp="everyone"/>
      <w:r>
        <w:rPr>
          <w:rFonts w:hint="eastAsia"/>
          <w:szCs w:val="21"/>
          <w:lang w:eastAsia="zh-CN"/>
        </w:rPr>
        <w:t>综合楼B区后门处一台货梯拆除并将新设备安装至综合楼B区后门处井道内。</w:t>
      </w:r>
      <w:permEnd w:id="7"/>
    </w:p>
    <w:p>
      <w:pPr>
        <w:pStyle w:val="31"/>
        <w:numPr>
          <w:ilvl w:val="0"/>
          <w:numId w:val="3"/>
        </w:numPr>
        <w:spacing w:after="158" w:afterLines="50"/>
        <w:ind w:left="426" w:hanging="426" w:hangingChars="202"/>
        <w:outlineLvl w:val="0"/>
        <w:rPr>
          <w:rFonts w:ascii="Times New Roman" w:hAnsi="Times New Roman"/>
          <w:b/>
          <w:szCs w:val="21"/>
        </w:rPr>
      </w:pPr>
      <w:bookmarkStart w:id="23" w:name="_Toc522716120"/>
      <w:r>
        <w:rPr>
          <w:rFonts w:ascii="Times New Roman" w:hAnsi="Times New Roman"/>
          <w:b/>
          <w:szCs w:val="21"/>
        </w:rPr>
        <w:t>安装要求</w:t>
      </w:r>
      <w:bookmarkEnd w:id="23"/>
    </w:p>
    <w:p>
      <w:pPr>
        <w:pStyle w:val="31"/>
        <w:spacing w:after="158" w:afterLines="50"/>
        <w:ind w:left="425" w:firstLine="0" w:firstLineChars="0"/>
        <w:rPr>
          <w:rFonts w:ascii="Times New Roman" w:hAnsi="Times New Roman"/>
          <w:szCs w:val="21"/>
        </w:rPr>
      </w:pPr>
      <w:bookmarkStart w:id="48" w:name="_GoBack"/>
      <w:bookmarkEnd w:id="48"/>
      <w:permStart w:id="8" w:edGrp="everyone"/>
      <w:permEnd w:id="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12"/>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4" w:name="OLE_LINK1"/>
            <w:bookmarkStart w:id="25" w:name="OLE_LINK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gridSpan w:val="2"/>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9" w:edGrp="everyone"/>
          </w:p>
        </w:tc>
        <w:tc>
          <w:tcPr>
            <w:tcW w:w="7128" w:type="dxa"/>
            <w:shd w:val="clear" w:color="auto" w:fill="auto"/>
            <w:vAlign w:val="center"/>
          </w:tcPr>
          <w:p>
            <w:pPr>
              <w:pStyle w:val="45"/>
              <w:spacing w:before="0" w:after="0"/>
              <w:ind w:right="-6"/>
              <w:rPr>
                <w:rFonts w:ascii="宋体" w:hAnsi="宋体"/>
                <w:color w:val="000000"/>
                <w:szCs w:val="21"/>
                <w:lang w:eastAsia="zh-CN"/>
              </w:rPr>
            </w:pPr>
            <w:r>
              <w:rPr>
                <w:rFonts w:hint="eastAsia" w:ascii="宋体" w:hAnsi="宋体"/>
                <w:lang w:eastAsia="zh-CN"/>
              </w:rPr>
              <w:t>保护性拆除1台旧货梯，并将拆除的旧货梯放到甲方指定位置，将1台新购乘客电梯安装于综合楼B区后门入口处电梯井内。</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0" w:edGrp="everyone"/>
          </w:p>
        </w:tc>
        <w:tc>
          <w:tcPr>
            <w:tcW w:w="7128" w:type="dxa"/>
            <w:shd w:val="clear" w:color="auto" w:fill="auto"/>
            <w:vAlign w:val="center"/>
          </w:tcPr>
          <w:p>
            <w:pPr>
              <w:pStyle w:val="45"/>
              <w:spacing w:before="0" w:after="0"/>
              <w:ind w:right="-6"/>
              <w:rPr>
                <w:rFonts w:ascii="宋体" w:hAnsi="宋体"/>
                <w:color w:val="000000"/>
                <w:sz w:val="24"/>
                <w:lang w:eastAsia="zh-CN"/>
              </w:rPr>
            </w:pPr>
            <w:r>
              <w:rPr>
                <w:rFonts w:hint="eastAsia" w:ascii="宋体" w:hAnsi="宋体"/>
                <w:lang w:eastAsia="zh-CN"/>
              </w:rPr>
              <w:t>客梯轿厢尺寸（mm）：1500（宽）*1600（深）*2200（高），井道尺寸（mm）：2250*2250。</w:t>
            </w:r>
            <w:r>
              <w:rPr>
                <w:rFonts w:hint="eastAsia" w:ascii="宋体" w:hAnsi="宋体" w:cs="宋体"/>
                <w:lang w:eastAsia="zh-CN"/>
              </w:rPr>
              <w:t>供应商需到现场勘查后，以实际测量尺寸为准。</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1" w:edGrp="everyone"/>
          </w:p>
        </w:tc>
        <w:tc>
          <w:tcPr>
            <w:tcW w:w="7128" w:type="dxa"/>
            <w:shd w:val="clear" w:color="auto" w:fill="auto"/>
            <w:vAlign w:val="center"/>
          </w:tcPr>
          <w:p>
            <w:pPr>
              <w:pStyle w:val="45"/>
              <w:spacing w:before="0" w:after="0"/>
              <w:ind w:right="-6"/>
              <w:rPr>
                <w:rFonts w:ascii="宋体" w:hAnsi="宋体"/>
                <w:lang w:eastAsia="zh-CN"/>
              </w:rPr>
            </w:pPr>
            <w:r>
              <w:rPr>
                <w:rFonts w:hint="eastAsia" w:ascii="宋体" w:hAnsi="宋体"/>
                <w:lang w:eastAsia="zh-CN"/>
              </w:rPr>
              <w:t>客梯电梯门尺寸为900mm*2000mm，</w:t>
            </w:r>
            <w:r>
              <w:rPr>
                <w:rFonts w:hint="eastAsia" w:ascii="宋体" w:hAnsi="宋体" w:cs="宋体"/>
                <w:lang w:eastAsia="zh-CN"/>
              </w:rPr>
              <w:t>供应商需到现场勘查后，以实际测量尺寸为准。</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FFFFFF" w:themeFill="background1"/>
            <w:vAlign w:val="center"/>
          </w:tcPr>
          <w:p>
            <w:pPr>
              <w:pStyle w:val="31"/>
              <w:numPr>
                <w:ilvl w:val="0"/>
                <w:numId w:val="7"/>
              </w:numPr>
              <w:ind w:left="470" w:hanging="120" w:firstLineChars="0"/>
              <w:rPr>
                <w:szCs w:val="21"/>
              </w:rPr>
            </w:pPr>
            <w:permStart w:id="12" w:edGrp="everyone"/>
          </w:p>
        </w:tc>
        <w:tc>
          <w:tcPr>
            <w:tcW w:w="7140" w:type="dxa"/>
            <w:gridSpan w:val="2"/>
            <w:shd w:val="clear" w:color="auto" w:fill="auto"/>
            <w:vAlign w:val="center"/>
          </w:tcPr>
          <w:p>
            <w:pPr>
              <w:rPr>
                <w:color w:val="000000" w:themeColor="text1"/>
                <w:szCs w:val="21"/>
                <w:lang w:eastAsia="zh-CN"/>
              </w:rPr>
            </w:pPr>
            <w:r>
              <w:rPr>
                <w:rFonts w:hint="eastAsia" w:ascii="宋体" w:hAnsi="宋体"/>
                <w:color w:val="000000" w:themeColor="text1"/>
                <w:lang w:eastAsia="zh-CN"/>
              </w:rPr>
              <w:t>至少</w:t>
            </w:r>
            <w:r>
              <w:rPr>
                <w:rFonts w:hint="eastAsia" w:ascii="宋体" w:hAnsi="宋体"/>
                <w:color w:val="000000" w:themeColor="text1"/>
              </w:rPr>
              <w:t>可承重</w:t>
            </w:r>
            <w:r>
              <w:rPr>
                <w:rFonts w:hint="eastAsia" w:ascii="宋体" w:hAnsi="宋体"/>
                <w:color w:val="000000" w:themeColor="text1"/>
                <w:lang w:eastAsia="zh-CN"/>
              </w:rPr>
              <w:t>1</w:t>
            </w:r>
            <w:r>
              <w:rPr>
                <w:rFonts w:ascii="宋体" w:hAnsi="宋体"/>
                <w:color w:val="000000" w:themeColor="text1"/>
                <w:lang w:eastAsia="zh-CN"/>
              </w:rPr>
              <w:t>0</w:t>
            </w:r>
            <w:r>
              <w:rPr>
                <w:rFonts w:ascii="宋体" w:hAnsi="宋体"/>
                <w:color w:val="000000" w:themeColor="text1"/>
              </w:rPr>
              <w:t>00</w:t>
            </w:r>
            <w:r>
              <w:rPr>
                <w:rFonts w:hint="eastAsia" w:ascii="宋体" w:hAnsi="宋体"/>
                <w:color w:val="000000" w:themeColor="text1"/>
              </w:rPr>
              <w:t>kg</w:t>
            </w:r>
            <w:r>
              <w:rPr>
                <w:rFonts w:hint="eastAsia" w:ascii="宋体" w:hAnsi="宋体"/>
                <w:color w:val="000000" w:themeColor="text1"/>
                <w:lang w:eastAsia="zh-CN"/>
              </w:rPr>
              <w:t>。</w:t>
            </w:r>
          </w:p>
        </w:tc>
        <w:tc>
          <w:tcPr>
            <w:tcW w:w="2113" w:type="dxa"/>
            <w:shd w:val="clear" w:color="auto" w:fill="auto"/>
            <w:vAlign w:val="center"/>
          </w:tcPr>
          <w:p>
            <w:pPr>
              <w:jc w:val="center"/>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13" w:edGrp="everyone"/>
          </w:p>
        </w:tc>
        <w:tc>
          <w:tcPr>
            <w:tcW w:w="9253" w:type="dxa"/>
            <w:gridSpan w:val="3"/>
            <w:shd w:val="clear" w:color="auto" w:fill="auto"/>
            <w:vAlign w:val="center"/>
          </w:tcPr>
          <w:p>
            <w:pPr>
              <w:jc w:val="both"/>
              <w:rPr>
                <w:szCs w:val="21"/>
                <w:lang w:eastAsia="zh-CN"/>
              </w:rPr>
            </w:pPr>
            <w:r>
              <w:rPr>
                <w:rFonts w:hint="eastAsia"/>
                <w:szCs w:val="21"/>
                <w:lang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ind w:left="350"/>
              <w:rPr>
                <w:szCs w:val="21"/>
                <w:lang w:eastAsia="zh-CN"/>
              </w:rPr>
            </w:pPr>
            <w:permStart w:id="14" w:edGrp="everyone"/>
          </w:p>
        </w:tc>
        <w:tc>
          <w:tcPr>
            <w:tcW w:w="9253" w:type="dxa"/>
            <w:gridSpan w:val="3"/>
            <w:shd w:val="clear" w:color="auto" w:fill="auto"/>
            <w:vAlign w:val="center"/>
          </w:tcPr>
          <w:p>
            <w:pPr>
              <w:rPr>
                <w:szCs w:val="21"/>
                <w:lang w:eastAsia="zh-CN"/>
              </w:rPr>
            </w:pPr>
            <w:r>
              <w:rPr>
                <w:rFonts w:hint="eastAsia"/>
                <w:lang w:eastAsia="zh-CN"/>
              </w:rPr>
              <w:t>N/A</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5" w:edGrp="everyone"/>
          </w:p>
        </w:tc>
        <w:tc>
          <w:tcPr>
            <w:tcW w:w="7128" w:type="dxa"/>
            <w:shd w:val="clear" w:color="auto" w:fill="auto"/>
            <w:vAlign w:val="center"/>
          </w:tcPr>
          <w:p>
            <w:pPr>
              <w:spacing w:line="276" w:lineRule="auto"/>
              <w:jc w:val="both"/>
              <w:rPr>
                <w:lang w:eastAsia="zh-CN"/>
              </w:rPr>
            </w:pPr>
            <w:r>
              <w:rPr>
                <w:rFonts w:hint="eastAsia" w:ascii="宋体" w:hAnsi="宋体" w:cs="宋体"/>
                <w:szCs w:val="24"/>
                <w:lang w:eastAsia="zh-CN"/>
              </w:rPr>
              <w:t>电源：交流380V/220V，三相五线制，电压波动≤±7%。</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6"/>
              </w:numPr>
              <w:ind w:firstLineChars="0"/>
              <w:rPr>
                <w:rFonts w:ascii="Times New Roman" w:hAnsi="Times New Roman"/>
                <w:szCs w:val="21"/>
              </w:rPr>
            </w:pPr>
          </w:p>
        </w:tc>
        <w:tc>
          <w:tcPr>
            <w:tcW w:w="9253" w:type="dxa"/>
            <w:gridSpan w:val="3"/>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16" w:edGrp="everyone"/>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电梯品牌：使用进口品牌或合资品牌。</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i/>
                <w:color w:val="000000"/>
                <w:szCs w:val="21"/>
                <w:lang w:eastAsia="zh-CN"/>
              </w:rPr>
            </w:pPr>
            <w:r>
              <w:rPr>
                <w:rFonts w:hint="eastAsia" w:ascii="宋体" w:hAnsi="宋体" w:cs="宋体"/>
                <w:szCs w:val="21"/>
                <w:lang w:eastAsia="zh-CN"/>
              </w:rPr>
              <w:t>小门套：不锈钢板/大理石（</w:t>
            </w:r>
            <w:r>
              <w:rPr>
                <w:rFonts w:hint="eastAsia" w:ascii="宋体" w:hAnsi="宋体" w:cs="宋体"/>
                <w:bCs/>
                <w:szCs w:val="21"/>
                <w:lang w:eastAsia="zh-CN"/>
              </w:rPr>
              <w:t>由承包方提供参考方案，以发包方确认为准后，由承包方负责安装</w:t>
            </w:r>
            <w:r>
              <w:rPr>
                <w:rFonts w:hint="eastAsia" w:ascii="宋体" w:hAnsi="宋体" w:cs="宋体"/>
                <w:szCs w:val="21"/>
                <w:lang w:eastAsia="zh-CN"/>
              </w:rPr>
              <w:t>）。</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梯厅门：304不锈钢。</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45"/>
              <w:spacing w:before="0" w:after="0"/>
              <w:ind w:right="-6"/>
              <w:rPr>
                <w:rFonts w:ascii="宋体" w:hAnsi="宋体" w:cs="宋体"/>
                <w:szCs w:val="21"/>
                <w:lang w:val="en-GB" w:eastAsia="zh-CN"/>
              </w:rPr>
            </w:pPr>
            <w:r>
              <w:rPr>
                <w:rFonts w:hint="eastAsia" w:ascii="宋体" w:hAnsi="宋体" w:cs="宋体"/>
                <w:szCs w:val="21"/>
                <w:lang w:val="en-GB" w:eastAsia="zh-CN"/>
              </w:rPr>
              <w:t>厅门指示器：每层配梯层显示及方向显示。</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1"/>
                <w:lang w:eastAsia="zh-CN"/>
              </w:rPr>
            </w:pPr>
            <w:r>
              <w:rPr>
                <w:rFonts w:hint="eastAsia" w:ascii="宋体" w:hAnsi="宋体" w:cs="宋体"/>
                <w:sz w:val="21"/>
                <w:szCs w:val="21"/>
                <w:lang w:eastAsia="zh-CN"/>
              </w:rPr>
              <w:t>厅门按钮：微动发光按钮，发纹304不锈钢。</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1"/>
                <w:lang w:val="en-US" w:eastAsia="zh-CN"/>
              </w:rPr>
            </w:pPr>
            <w:r>
              <w:rPr>
                <w:rFonts w:hint="eastAsia" w:ascii="宋体" w:hAnsi="宋体" w:cs="宋体"/>
                <w:sz w:val="21"/>
                <w:szCs w:val="21"/>
                <w:lang w:eastAsia="zh-CN"/>
              </w:rPr>
              <w:t>轿厢：</w:t>
            </w:r>
            <w:r>
              <w:rPr>
                <w:rFonts w:hint="eastAsia" w:ascii="宋体" w:hAnsi="宋体" w:cs="宋体"/>
                <w:sz w:val="21"/>
                <w:szCs w:val="21"/>
                <w:lang w:val="en-US" w:eastAsia="zh-CN"/>
              </w:rPr>
              <w:t>侧壁</w:t>
            </w:r>
            <w:r>
              <w:rPr>
                <w:rFonts w:hint="eastAsia" w:ascii="宋体" w:hAnsi="宋体" w:cs="宋体"/>
                <w:sz w:val="21"/>
                <w:szCs w:val="21"/>
                <w:lang w:eastAsia="zh-CN"/>
              </w:rPr>
              <w:t>304</w:t>
            </w:r>
            <w:r>
              <w:rPr>
                <w:rFonts w:hint="eastAsia" w:ascii="宋体" w:hAnsi="宋体" w:cs="宋体"/>
                <w:sz w:val="21"/>
                <w:szCs w:val="21"/>
                <w:lang w:val="en-US" w:eastAsia="zh-CN"/>
              </w:rPr>
              <w:t>镜面</w:t>
            </w:r>
            <w:r>
              <w:rPr>
                <w:rFonts w:hint="eastAsia" w:ascii="宋体" w:hAnsi="宋体" w:cs="宋体"/>
                <w:sz w:val="21"/>
                <w:szCs w:val="21"/>
                <w:lang w:eastAsia="zh-CN"/>
              </w:rPr>
              <w:t>不锈钢</w:t>
            </w:r>
            <w:r>
              <w:rPr>
                <w:rFonts w:hint="eastAsia" w:ascii="宋体" w:hAnsi="宋体" w:cs="宋体"/>
                <w:sz w:val="21"/>
                <w:szCs w:val="21"/>
                <w:lang w:val="en-US" w:eastAsia="zh-CN"/>
              </w:rPr>
              <w:t>材质，操纵箱：304发纹不锈钢材质</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1"/>
                <w:lang w:eastAsia="zh-CN"/>
              </w:rPr>
            </w:pPr>
            <w:r>
              <w:rPr>
                <w:rFonts w:hint="eastAsia" w:ascii="宋体" w:hAnsi="宋体" w:cs="宋体"/>
                <w:sz w:val="21"/>
                <w:szCs w:val="21"/>
                <w:lang w:eastAsia="zh-CN"/>
              </w:rPr>
              <w:t>轿厢门壁：304不锈钢。</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1"/>
                <w:lang w:val="en-US" w:eastAsia="zh-CN"/>
              </w:rPr>
            </w:pPr>
            <w:r>
              <w:rPr>
                <w:rFonts w:hint="eastAsia" w:ascii="宋体" w:hAnsi="宋体" w:cs="宋体"/>
                <w:sz w:val="21"/>
                <w:szCs w:val="21"/>
                <w:lang w:eastAsia="zh-CN"/>
              </w:rPr>
              <w:t>轿厢天花：</w:t>
            </w:r>
            <w:r>
              <w:rPr>
                <w:rFonts w:hint="eastAsia" w:ascii="宋体" w:hAnsi="宋体" w:cs="宋体"/>
                <w:sz w:val="21"/>
                <w:szCs w:val="21"/>
                <w:lang w:val="en-US" w:eastAsia="zh-CN"/>
              </w:rPr>
              <w:t>亚克力灯罩板</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1"/>
                <w:lang w:eastAsia="zh-CN"/>
              </w:rPr>
            </w:pPr>
            <w:r>
              <w:rPr>
                <w:rFonts w:hint="eastAsia" w:ascii="宋体" w:hAnsi="宋体" w:cs="宋体"/>
                <w:sz w:val="21"/>
                <w:szCs w:val="21"/>
                <w:lang w:eastAsia="zh-CN"/>
              </w:rPr>
              <w:t>轿厢信号装置：轿厢前板右侧高轿厢操作板，带楼层显示，发光数量按钮。</w:t>
            </w:r>
          </w:p>
        </w:tc>
        <w:tc>
          <w:tcPr>
            <w:tcW w:w="2125" w:type="dxa"/>
            <w:gridSpan w:val="2"/>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1"/>
                <w:lang w:eastAsia="zh-CN"/>
              </w:rPr>
            </w:pPr>
            <w:r>
              <w:rPr>
                <w:rFonts w:hint="eastAsia" w:ascii="宋体" w:hAnsi="宋体" w:cs="宋体"/>
                <w:sz w:val="21"/>
                <w:szCs w:val="21"/>
                <w:lang w:eastAsia="zh-CN"/>
              </w:rPr>
              <w:t>应在明显平整的部位上固定铭牌，其内容应包括：制造厂名；型号和名称；主要技术规格；制造编号；制造日期。</w:t>
            </w:r>
          </w:p>
        </w:tc>
        <w:tc>
          <w:tcPr>
            <w:tcW w:w="2125" w:type="dxa"/>
            <w:gridSpan w:val="2"/>
            <w:shd w:val="clear" w:color="auto" w:fill="auto"/>
            <w:vAlign w:val="center"/>
          </w:tcPr>
          <w:p>
            <w:pPr>
              <w:jc w:val="center"/>
              <w:rPr>
                <w:szCs w:val="21"/>
                <w:lang w:eastAsia="zh-CN"/>
              </w:rPr>
            </w:pPr>
            <w:r>
              <w:rPr>
                <w:rFonts w:hint="eastAsia" w:ascii="宋体" w:hAnsi="宋体" w:cs="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1"/>
                <w:lang w:eastAsia="zh-CN"/>
              </w:rPr>
            </w:pPr>
            <w:r>
              <w:rPr>
                <w:rFonts w:hint="eastAsia" w:ascii="宋体" w:hAnsi="宋体" w:cs="宋体"/>
                <w:sz w:val="21"/>
                <w:szCs w:val="24"/>
                <w:lang w:eastAsia="zh-CN"/>
              </w:rPr>
              <w:t>电梯轿厢装饰：提供不少于3款可免费选择的轿厢装饰，以发包方确认为准</w:t>
            </w:r>
          </w:p>
        </w:tc>
        <w:tc>
          <w:tcPr>
            <w:tcW w:w="2125" w:type="dxa"/>
            <w:gridSpan w:val="2"/>
            <w:shd w:val="clear" w:color="auto" w:fill="auto"/>
            <w:vAlign w:val="center"/>
          </w:tcPr>
          <w:p>
            <w:pPr>
              <w:jc w:val="center"/>
              <w:rPr>
                <w:rFonts w:ascii="宋体" w:hAnsi="宋体" w:cs="宋体"/>
                <w:szCs w:val="21"/>
                <w:lang w:eastAsia="zh-CN"/>
              </w:rPr>
            </w:pPr>
            <w:r>
              <w:rPr>
                <w:rFonts w:hint="eastAsia" w:ascii="宋体" w:hAnsi="宋体" w:cs="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4"/>
                <w:lang w:val="en-US" w:eastAsia="zh-CN"/>
              </w:rPr>
            </w:pPr>
            <w:r>
              <w:rPr>
                <w:rFonts w:hint="eastAsia" w:ascii="宋体" w:hAnsi="宋体" w:cs="宋体"/>
                <w:sz w:val="21"/>
                <w:szCs w:val="24"/>
                <w:lang w:val="en-US" w:eastAsia="zh-CN"/>
              </w:rPr>
              <w:t>通风系统：变频双温空调+轴流静音风机</w:t>
            </w:r>
          </w:p>
        </w:tc>
        <w:tc>
          <w:tcPr>
            <w:tcW w:w="2125" w:type="dxa"/>
            <w:gridSpan w:val="2"/>
            <w:shd w:val="clear" w:color="auto" w:fill="auto"/>
            <w:vAlign w:val="center"/>
          </w:tcPr>
          <w:p>
            <w:pPr>
              <w:jc w:val="center"/>
              <w:rPr>
                <w:rFonts w:ascii="宋体" w:hAnsi="宋体" w:cs="宋体"/>
                <w:szCs w:val="21"/>
                <w:lang w:eastAsia="zh-CN"/>
              </w:rPr>
            </w:pPr>
            <w:r>
              <w:rPr>
                <w:rFonts w:hint="eastAsia" w:ascii="宋体" w:hAnsi="宋体" w:cs="宋体"/>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7"/>
              <w:spacing w:line="276" w:lineRule="auto"/>
              <w:rPr>
                <w:rFonts w:ascii="宋体" w:hAnsi="宋体" w:cs="宋体"/>
                <w:sz w:val="21"/>
                <w:szCs w:val="24"/>
                <w:lang w:val="en-US" w:eastAsia="zh-CN"/>
              </w:rPr>
            </w:pPr>
            <w:r>
              <w:rPr>
                <w:rFonts w:hint="eastAsia" w:ascii="宋体" w:hAnsi="宋体" w:cs="宋体"/>
                <w:sz w:val="21"/>
                <w:szCs w:val="24"/>
                <w:lang w:val="en-US" w:eastAsia="zh-CN"/>
              </w:rPr>
              <w:t>显示：多功能液晶全屏</w:t>
            </w:r>
          </w:p>
        </w:tc>
        <w:tc>
          <w:tcPr>
            <w:tcW w:w="2125" w:type="dxa"/>
            <w:gridSpan w:val="2"/>
            <w:shd w:val="clear" w:color="auto" w:fill="auto"/>
            <w:vAlign w:val="center"/>
          </w:tcPr>
          <w:p>
            <w:pPr>
              <w:jc w:val="center"/>
              <w:rPr>
                <w:rFonts w:ascii="宋体" w:hAnsi="宋体" w:cs="宋体"/>
                <w:szCs w:val="21"/>
                <w:lang w:eastAsia="zh-CN"/>
              </w:rPr>
            </w:pPr>
            <w:r>
              <w:rPr>
                <w:rFonts w:hint="eastAsia" w:ascii="宋体" w:hAnsi="宋体" w:cs="宋体"/>
                <w:szCs w:val="21"/>
                <w:lang w:eastAsia="zh-CN"/>
              </w:rPr>
              <w:t>关键</w:t>
            </w:r>
          </w:p>
        </w:tc>
      </w:tr>
      <w:bookmarkEnd w:id="24"/>
      <w:bookmarkEnd w:id="25"/>
      <w:permEnd w:id="16"/>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6" w:name="_Toc522107740"/>
      <w:bookmarkStart w:id="27" w:name="_Toc522716121"/>
      <w:r>
        <w:rPr>
          <w:rFonts w:ascii="Times New Roman" w:hAnsi="Times New Roman"/>
          <w:b/>
        </w:rPr>
        <w:t>运行要求</w:t>
      </w:r>
      <w:bookmarkEnd w:id="26"/>
      <w:bookmarkEnd w:id="27"/>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blHeader/>
          <w:jc w:val="center"/>
        </w:trPr>
        <w:tc>
          <w:tcPr>
            <w:tcW w:w="1310" w:type="dxa"/>
            <w:shd w:val="clear" w:color="auto" w:fill="D9D9D9"/>
            <w:vAlign w:val="center"/>
          </w:tcPr>
          <w:p>
            <w:pPr>
              <w:jc w:val="center"/>
              <w:rPr>
                <w:b/>
                <w:szCs w:val="21"/>
              </w:rPr>
            </w:pPr>
            <w:permStart w:id="17" w:edGrp="everyone"/>
            <w:permEnd w:id="17"/>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18" w:edGrp="everyone"/>
          </w:p>
        </w:tc>
        <w:tc>
          <w:tcPr>
            <w:tcW w:w="9253" w:type="dxa"/>
            <w:gridSpan w:val="2"/>
            <w:shd w:val="clear" w:color="auto" w:fill="auto"/>
            <w:vAlign w:val="center"/>
          </w:tcPr>
          <w:p>
            <w:pPr>
              <w:jc w:val="both"/>
              <w:rPr>
                <w:szCs w:val="21"/>
                <w:lang w:eastAsia="zh-CN"/>
              </w:rPr>
            </w:pPr>
            <w:r>
              <w:rPr>
                <w:rFonts w:hint="eastAsia"/>
                <w:lang w:eastAsia="zh-CN"/>
              </w:rPr>
              <w:t>N/A</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19" w:edGrp="everyone"/>
          </w:p>
        </w:tc>
        <w:tc>
          <w:tcPr>
            <w:tcW w:w="9253" w:type="dxa"/>
            <w:gridSpan w:val="2"/>
            <w:shd w:val="clear" w:color="auto" w:fill="auto"/>
            <w:vAlign w:val="center"/>
          </w:tcPr>
          <w:p>
            <w:pPr>
              <w:jc w:val="both"/>
              <w:rPr>
                <w:szCs w:val="21"/>
                <w:lang w:eastAsia="zh-CN"/>
              </w:rPr>
            </w:pPr>
            <w:r>
              <w:rPr>
                <w:rFonts w:hint="eastAsia"/>
                <w:lang w:eastAsia="zh-CN"/>
              </w:rPr>
              <w:t>N/A</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0" w:edGrp="everyone"/>
          </w:p>
        </w:tc>
        <w:tc>
          <w:tcPr>
            <w:tcW w:w="7128" w:type="dxa"/>
            <w:shd w:val="clear" w:color="auto" w:fill="auto"/>
            <w:vAlign w:val="center"/>
          </w:tcPr>
          <w:p>
            <w:pPr>
              <w:spacing w:line="276" w:lineRule="auto"/>
              <w:jc w:val="both"/>
              <w:rPr>
                <w:rFonts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客</w:t>
            </w:r>
            <w:r>
              <w:rPr>
                <w:rFonts w:hint="eastAsia" w:asciiTheme="minorEastAsia" w:hAnsiTheme="minorEastAsia" w:eastAsiaTheme="minorEastAsia"/>
                <w:szCs w:val="21"/>
                <w:lang w:eastAsia="zh-CN"/>
              </w:rPr>
              <w:t>梯载重10</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lang w:eastAsia="zh-CN"/>
              </w:rPr>
              <w:t>kg</w:t>
            </w:r>
            <w:r>
              <w:rPr>
                <w:rFonts w:hint="eastAsia" w:asciiTheme="minorEastAsia" w:hAnsiTheme="minorEastAsia" w:eastAsiaTheme="minorEastAsia"/>
                <w:szCs w:val="21"/>
                <w:lang w:val="en-US" w:eastAsia="zh-CN"/>
              </w:rPr>
              <w:t>-1300KG</w:t>
            </w:r>
            <w:r>
              <w:rPr>
                <w:rFonts w:hint="eastAsia" w:asciiTheme="minorEastAsia" w:hAnsiTheme="minorEastAsia" w:eastAsiaTheme="minor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客</w:t>
            </w:r>
            <w:r>
              <w:rPr>
                <w:rFonts w:hint="eastAsia" w:asciiTheme="minorEastAsia" w:hAnsiTheme="minorEastAsia" w:eastAsiaTheme="minorEastAsia"/>
                <w:szCs w:val="21"/>
                <w:lang w:eastAsia="zh-CN"/>
              </w:rPr>
              <w:t>梯运行速度</w:t>
            </w:r>
            <w:r>
              <w:rPr>
                <w:rFonts w:hint="eastAsia" w:asciiTheme="minorEastAsia" w:hAnsiTheme="minorEastAsia" w:eastAsiaTheme="minorEastAsia"/>
                <w:szCs w:val="21"/>
                <w:lang w:val="en-US" w:eastAsia="zh-CN"/>
              </w:rPr>
              <w:t>1.5-1.75</w:t>
            </w:r>
            <w:r>
              <w:rPr>
                <w:rFonts w:hint="eastAsia" w:asciiTheme="minorEastAsia" w:hAnsiTheme="minorEastAsia" w:eastAsiaTheme="minorEastAsia"/>
                <w:szCs w:val="21"/>
                <w:lang w:eastAsia="zh-CN"/>
              </w:rPr>
              <w:t>m/s。</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客</w:t>
            </w:r>
            <w:r>
              <w:rPr>
                <w:rFonts w:hint="eastAsia" w:asciiTheme="minorEastAsia" w:hAnsiTheme="minorEastAsia" w:eastAsiaTheme="minorEastAsia"/>
                <w:szCs w:val="21"/>
                <w:lang w:eastAsia="zh-CN"/>
              </w:rPr>
              <w:t>梯为</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站</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层</w:t>
            </w:r>
            <w:r>
              <w:rPr>
                <w:rFonts w:hint="eastAsia" w:asciiTheme="minorEastAsia" w:hAnsiTheme="minorEastAsia" w:eastAsiaTheme="minorEastAsia"/>
                <w:szCs w:val="21"/>
                <w:lang w:val="en-US" w:eastAsia="zh-CN"/>
              </w:rPr>
              <w:t>6门</w:t>
            </w:r>
            <w:r>
              <w:rPr>
                <w:rFonts w:hint="eastAsia" w:asciiTheme="minorEastAsia" w:hAnsiTheme="minorEastAsia" w:eastAsiaTheme="minorEastAsia"/>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pStyle w:val="6"/>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功能配置</w:t>
            </w:r>
            <w:r>
              <w:rPr>
                <w:rFonts w:hint="eastAsia" w:cs="宋体" w:asciiTheme="minorEastAsia" w:hAnsiTheme="minorEastAsia" w:eastAsiaTheme="minorEastAsia"/>
                <w:szCs w:val="21"/>
                <w:lang w:eastAsia="zh-CN"/>
              </w:rPr>
              <w:t>：全集选；轿顶与机房控制屏设检修运行开关；超载不启动(含自动声光报警)；再平层；轿厢内紧急照明（突然断电立即自动接通）；故障时就近平层（含断电就近平层）；防干扰(捣机)功能；轿厢照明和风扇自动开关；故障诊断功能；急停操作；满载不停梯，外呼不应；强迫关门；轿厢数字式位置指示器；厅数字式位置指示器；消防服务(如非消防梯此项无)；机械式门安全保护；运程监控接口准备；</w:t>
            </w:r>
            <w:r>
              <w:rPr>
                <w:rFonts w:hint="eastAsia"/>
                <w:lang w:val="en-US" w:eastAsia="zh-CN"/>
              </w:rPr>
              <w:t>安装1个数字信号的高清摄像头和内置无线电话，接通到监控室</w:t>
            </w:r>
            <w:r>
              <w:rPr>
                <w:rFonts w:hint="eastAsia" w:cs="宋体" w:asciiTheme="minorEastAsia" w:hAnsiTheme="minorEastAsia" w:eastAsiaTheme="minorEastAsia"/>
                <w:szCs w:val="21"/>
                <w:lang w:eastAsia="zh-CN"/>
              </w:rPr>
              <w:t>；安全门销装置；一楼厅处停用开关；火警紧急返回到基站；警铃装置；电梯运行管理系统；轿厢由轿顶、机房控制屏设检修运行开关。</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1" w:edGrp="everyone"/>
          </w:p>
        </w:tc>
        <w:tc>
          <w:tcPr>
            <w:tcW w:w="7128" w:type="dxa"/>
            <w:shd w:val="clear" w:color="auto" w:fill="auto"/>
            <w:vAlign w:val="center"/>
          </w:tcPr>
          <w:p>
            <w:pPr>
              <w:spacing w:line="276" w:lineRule="auto"/>
              <w:jc w:val="both"/>
              <w:rPr>
                <w:szCs w:val="21"/>
                <w:lang w:eastAsia="zh-CN"/>
              </w:rPr>
            </w:pPr>
            <w:r>
              <w:rPr>
                <w:rFonts w:hint="eastAsia" w:ascii="宋体" w:hAnsi="宋体" w:cs="宋体"/>
                <w:szCs w:val="21"/>
                <w:lang w:val="en-US" w:eastAsia="zh-CN"/>
              </w:rPr>
              <w:t>客</w:t>
            </w:r>
            <w:r>
              <w:rPr>
                <w:rFonts w:hint="eastAsia" w:ascii="宋体" w:hAnsi="宋体" w:cs="宋体"/>
                <w:szCs w:val="21"/>
                <w:lang w:eastAsia="zh-CN"/>
              </w:rPr>
              <w:t>梯轿厢内需安装防撞设施（由承包方提供参考方案，以发包方确认为准后，由承包方负责安装）。</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1"/>
    </w:tbl>
    <w:p>
      <w:pPr>
        <w:pStyle w:val="31"/>
        <w:numPr>
          <w:ilvl w:val="0"/>
          <w:numId w:val="3"/>
        </w:numPr>
        <w:spacing w:after="158" w:afterLines="50"/>
        <w:ind w:left="426" w:hanging="426" w:hangingChars="202"/>
        <w:outlineLvl w:val="0"/>
        <w:rPr>
          <w:rFonts w:ascii="Times New Roman" w:hAnsi="Times New Roman"/>
          <w:b/>
        </w:rPr>
      </w:pPr>
      <w:bookmarkStart w:id="28" w:name="_Toc522716122"/>
      <w:bookmarkStart w:id="29" w:name="_Toc522107742"/>
      <w:bookmarkStart w:id="30" w:name="_Toc481702480"/>
      <w:bookmarkStart w:id="31" w:name="_Toc482370151"/>
      <w:bookmarkStart w:id="32" w:name="_Toc482625289"/>
      <w:bookmarkStart w:id="33" w:name="_Toc483400317"/>
      <w:bookmarkStart w:id="34" w:name="_Toc482369815"/>
      <w:bookmarkStart w:id="35" w:name="_Toc482359946"/>
      <w:bookmarkStart w:id="36" w:name="_Toc482370071"/>
      <w:bookmarkStart w:id="37" w:name="_Toc482360291"/>
      <w:bookmarkStart w:id="38" w:name="_Toc482370767"/>
      <w:bookmarkStart w:id="39" w:name="_Toc482717202"/>
      <w:bookmarkStart w:id="40" w:name="_Toc482370359"/>
      <w:bookmarkStart w:id="41" w:name="_Toc483227237"/>
      <w:r>
        <w:rPr>
          <w:rFonts w:ascii="Times New Roman" w:hAnsi="Times New Roman"/>
          <w:b/>
        </w:rPr>
        <w:t>电气、自动控制要求</w:t>
      </w:r>
      <w:bookmarkEnd w:id="28"/>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2" w:edGrp="everyone"/>
            <w:permEnd w:id="2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3" w:edGrp="everyone"/>
          </w:p>
        </w:tc>
        <w:tc>
          <w:tcPr>
            <w:tcW w:w="7128" w:type="dxa"/>
            <w:shd w:val="clear" w:color="auto" w:fill="auto"/>
            <w:vAlign w:val="center"/>
          </w:tcPr>
          <w:p>
            <w:pPr>
              <w:pStyle w:val="6"/>
              <w:rPr>
                <w:lang w:eastAsia="zh-CN"/>
              </w:rPr>
            </w:pPr>
            <w:r>
              <w:rPr>
                <w:rFonts w:hint="eastAsia" w:ascii="宋体" w:hAnsi="宋体" w:cs="宋体"/>
                <w:szCs w:val="21"/>
                <w:lang w:eastAsia="zh-CN"/>
              </w:rPr>
              <w:t>控制系统：全电脑集选控制，控制主板为电梯专用产品，</w:t>
            </w:r>
            <w:r>
              <w:rPr>
                <w:rFonts w:hint="eastAsia"/>
                <w:lang w:eastAsia="zh-CN"/>
              </w:rPr>
              <w:t>能实现自动运行和司机运行两个模式之间的转换。</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4" w:edGrp="everyone"/>
          </w:p>
        </w:tc>
        <w:tc>
          <w:tcPr>
            <w:tcW w:w="7128" w:type="dxa"/>
            <w:shd w:val="clear" w:color="auto" w:fill="auto"/>
            <w:vAlign w:val="center"/>
          </w:tcPr>
          <w:p>
            <w:pPr>
              <w:spacing w:line="276" w:lineRule="auto"/>
              <w:jc w:val="both"/>
              <w:rPr>
                <w:szCs w:val="21"/>
                <w:lang w:val="en-US" w:eastAsia="zh-CN"/>
              </w:rPr>
            </w:pPr>
            <w:r>
              <w:rPr>
                <w:rFonts w:hint="eastAsia" w:ascii="宋体" w:hAnsi="宋体" w:cs="宋体"/>
                <w:szCs w:val="21"/>
                <w:lang w:eastAsia="zh-CN"/>
              </w:rPr>
              <w:t>操作系统：32位全电脑模块化或数据网络</w:t>
            </w:r>
            <w:r>
              <w:rPr>
                <w:rFonts w:hint="eastAsia" w:ascii="宋体" w:hAnsi="宋体" w:cs="宋体"/>
                <w:szCs w:val="21"/>
                <w:lang w:val="en-US" w:eastAsia="zh-CN"/>
              </w:rPr>
              <w:t>控制系统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ascii="宋体" w:hAnsi="宋体" w:cs="宋体"/>
                <w:szCs w:val="21"/>
                <w:lang w:eastAsia="zh-CN"/>
              </w:rPr>
              <w:t>拖动系统：永磁同步无齿轮曳引机，交流变频变压（VVVF）调速驱动系统，知名品牌</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val="en-US" w:eastAsia="zh-CN"/>
              </w:rPr>
            </w:pPr>
            <w:r>
              <w:rPr>
                <w:rFonts w:hint="eastAsia" w:ascii="宋体" w:hAnsi="宋体" w:cs="宋体"/>
                <w:szCs w:val="21"/>
                <w:lang w:eastAsia="zh-CN"/>
              </w:rPr>
              <w:t>门机系统：VVVF变频变压调速系统，知名品牌</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25" w:edGrp="everyone"/>
          </w:p>
        </w:tc>
        <w:tc>
          <w:tcPr>
            <w:tcW w:w="9253" w:type="dxa"/>
            <w:gridSpan w:val="2"/>
            <w:shd w:val="clear" w:color="auto" w:fill="auto"/>
            <w:vAlign w:val="center"/>
          </w:tcPr>
          <w:p>
            <w:pPr>
              <w:jc w:val="both"/>
              <w:rPr>
                <w:szCs w:val="21"/>
                <w:lang w:eastAsia="zh-CN"/>
              </w:rPr>
            </w:pPr>
            <w:r>
              <w:rPr>
                <w:rFonts w:hint="eastAsia"/>
                <w:szCs w:val="21"/>
                <w:lang w:eastAsia="zh-CN"/>
              </w:rPr>
              <w:t>N/A</w:t>
            </w:r>
          </w:p>
        </w:tc>
      </w:tr>
      <w:permEnd w:id="25"/>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2" w:name="_Toc522716123"/>
      <w:r>
        <w:rPr>
          <w:rFonts w:ascii="Times New Roman" w:hAnsi="Times New Roman"/>
          <w:b/>
        </w:rPr>
        <w:t>安全要求</w:t>
      </w:r>
      <w:bookmarkEnd w:id="29"/>
      <w:bookmarkEnd w:id="42"/>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6" w:edGrp="everyone"/>
            <w:permEnd w:id="26"/>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ind w:firstLine="0" w:firstLineChars="0"/>
              <w:rPr>
                <w:rFonts w:ascii="Times New Roman" w:hAnsi="Times New Roman"/>
                <w:szCs w:val="21"/>
              </w:rPr>
            </w:pPr>
            <w:permStart w:id="27" w:edGrp="everyone"/>
          </w:p>
        </w:tc>
        <w:tc>
          <w:tcPr>
            <w:tcW w:w="9253" w:type="dxa"/>
            <w:gridSpan w:val="2"/>
            <w:shd w:val="clear" w:color="auto" w:fill="auto"/>
            <w:vAlign w:val="center"/>
          </w:tcPr>
          <w:p>
            <w:pPr>
              <w:jc w:val="both"/>
              <w:rPr>
                <w:szCs w:val="21"/>
                <w:lang w:eastAsia="zh-CN"/>
              </w:rPr>
            </w:pPr>
            <w:r>
              <w:rPr>
                <w:rFonts w:hint="eastAsia"/>
                <w:szCs w:val="21"/>
                <w:lang w:eastAsia="zh-CN"/>
              </w:rPr>
              <w:t>N/A</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28" w:edGrp="everyone"/>
          </w:p>
        </w:tc>
        <w:tc>
          <w:tcPr>
            <w:tcW w:w="7128" w:type="dxa"/>
            <w:shd w:val="clear" w:color="auto" w:fill="auto"/>
            <w:vAlign w:val="center"/>
          </w:tcPr>
          <w:p>
            <w:pPr>
              <w:spacing w:line="276" w:lineRule="auto"/>
              <w:jc w:val="both"/>
              <w:rPr>
                <w:color w:val="000000"/>
                <w:szCs w:val="21"/>
                <w:lang w:eastAsia="zh-CN"/>
              </w:rPr>
            </w:pPr>
            <w:r>
              <w:rPr>
                <w:rFonts w:hint="eastAsia" w:ascii="宋体" w:hAnsi="宋体" w:cs="宋体"/>
                <w:szCs w:val="21"/>
                <w:lang w:eastAsia="zh-CN"/>
              </w:rPr>
              <w:t>安全保护装置：安全钳：渐进式安全钳，知名品牌；限速器：双向超速保护, 知名品牌；钢绳和电缆：国家定点生产厂家的产品，与主机配套；导轨：国内优质产品，知名品牌；超载保护装置：</w:t>
            </w:r>
            <w:r>
              <w:rPr>
                <w:rFonts w:hint="eastAsia" w:ascii="宋体" w:hAnsi="宋体" w:cs="宋体"/>
                <w:szCs w:val="21"/>
                <w:lang w:val="en-US" w:eastAsia="zh-CN"/>
              </w:rPr>
              <w:t>模拟量称重</w:t>
            </w:r>
            <w:r>
              <w:rPr>
                <w:rFonts w:hint="eastAsia" w:ascii="宋体" w:hAnsi="宋体" w:cs="宋体"/>
                <w:szCs w:val="21"/>
                <w:lang w:eastAsia="zh-CN"/>
              </w:rPr>
              <w:t>；防夹功能：采用红外线门保护光幕功能系统。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电梯导轨间距：每档之间距离约1.6-2m之间。</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消防功能：电梯按消防功能进行配置。</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仪器要有漏电保护功能和</w:t>
            </w:r>
            <w:r>
              <w:rPr>
                <w:rFonts w:hint="eastAsia"/>
                <w:lang w:eastAsia="zh-CN"/>
              </w:rPr>
              <w:t>过流保护功能</w:t>
            </w:r>
            <w:r>
              <w:rPr>
                <w:rFonts w:hint="eastAsia" w:ascii="宋体" w:hAnsi="宋体" w:cs="宋体"/>
                <w:szCs w:val="21"/>
                <w:lang w:eastAsia="zh-CN"/>
              </w:rPr>
              <w:t>。</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制动器：碟式制动器。</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限速器：双向限速器带UCMP功能。</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上行超速保护：电气封星或机械锁止。</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轿门：具备开门限制或防扒门功能</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电气安全应符合GB4793.1和GB4793.4的要求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停电应急：具备应急平层功能</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val="en-US" w:eastAsia="zh-CN"/>
              </w:rPr>
            </w:pPr>
            <w:r>
              <w:rPr>
                <w:rFonts w:hint="eastAsia" w:ascii="宋体" w:hAnsi="宋体" w:cs="宋体"/>
                <w:szCs w:val="21"/>
                <w:lang w:val="en-US" w:eastAsia="zh-CN"/>
              </w:rPr>
              <w:t>制动器监测：制动器开、闭闸监测</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28"/>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3" w:name="_Toc522107743"/>
      <w:bookmarkStart w:id="44" w:name="_Toc522716124"/>
      <w:r>
        <w:rPr>
          <w:rFonts w:ascii="Times New Roman" w:hAnsi="Times New Roman"/>
          <w:b/>
        </w:rPr>
        <w:t>文件要求</w:t>
      </w:r>
      <w:bookmarkEnd w:id="43"/>
      <w:bookmarkEnd w:id="44"/>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9" w:edGrp="everyone"/>
            <w:permEnd w:id="29"/>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0" w:edGrp="everyone"/>
          </w:p>
        </w:tc>
        <w:tc>
          <w:tcPr>
            <w:tcW w:w="7128" w:type="dxa"/>
            <w:shd w:val="clear" w:color="auto" w:fill="auto"/>
            <w:vAlign w:val="center"/>
          </w:tcPr>
          <w:p>
            <w:pPr>
              <w:rPr>
                <w:rFonts w:ascii="宋体" w:hAnsi="宋体"/>
                <w:lang w:eastAsia="zh-CN"/>
              </w:rPr>
            </w:pPr>
            <w:r>
              <w:rPr>
                <w:rFonts w:hint="eastAsia" w:ascii="宋体" w:hAnsi="宋体"/>
                <w:szCs w:val="21"/>
                <w:lang w:eastAsia="zh-CN"/>
              </w:rPr>
              <w:t>供应商为制造商的，须同时具备国家质量监督检验检疫总局颁发的《中华人民共和国特种设备制造许可证》曳引与强制驱动电梯A级（含）；国家质量监督检验检疫总局颁发的《中华人民共和国特种设备安装改造维修许可证》安装、维修</w:t>
            </w:r>
            <w:r>
              <w:rPr>
                <w:rFonts w:hint="eastAsia" w:ascii="宋体" w:hAnsi="宋体"/>
                <w:szCs w:val="21"/>
                <w:lang w:val="en-US" w:eastAsia="zh-CN"/>
              </w:rPr>
              <w:t>A2</w:t>
            </w:r>
            <w:r>
              <w:rPr>
                <w:rFonts w:hint="eastAsia" w:ascii="宋体" w:hAnsi="宋体"/>
                <w:szCs w:val="21"/>
                <w:lang w:eastAsia="zh-CN"/>
              </w:rPr>
              <w:t>级（含）以上。供应商为经销商或代理商须具备国家质量监督检验检疫总局颁发的《中华人民共和国特种设备</w:t>
            </w:r>
            <w:r>
              <w:rPr>
                <w:rFonts w:hint="eastAsia" w:ascii="宋体" w:hAnsi="宋体"/>
                <w:szCs w:val="21"/>
                <w:lang w:val="en-US" w:eastAsia="zh-CN"/>
              </w:rPr>
              <w:t>生产许可证A2级</w:t>
            </w:r>
            <w:r>
              <w:rPr>
                <w:rFonts w:hint="eastAsia" w:ascii="宋体" w:hAnsi="宋体"/>
                <w:szCs w:val="21"/>
                <w:lang w:eastAsia="zh-CN"/>
              </w:rPr>
              <w:t>以上,并获得具备国家质量监督检验检疫总局颁发的《中华人民共和国特种设备制造许可证》曳引与强制驱动电梯A级（含）以上制造商的授权。</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rPr>
                <w:szCs w:val="21"/>
                <w:lang w:eastAsia="zh-CN"/>
              </w:rPr>
            </w:pPr>
            <w:r>
              <w:rPr>
                <w:rFonts w:hint="eastAsia" w:ascii="宋体" w:hAnsi="宋体"/>
                <w:lang w:eastAsia="zh-CN"/>
              </w:rPr>
              <w:t>设备开箱验收时供应商提供</w:t>
            </w:r>
            <w:r>
              <w:rPr>
                <w:color w:val="000000"/>
                <w:szCs w:val="21"/>
                <w:lang w:eastAsia="zh-CN"/>
              </w:rPr>
              <w:t>投标文件、合同及订单。</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1" w:edGrp="everyone"/>
          </w:p>
        </w:tc>
        <w:tc>
          <w:tcPr>
            <w:tcW w:w="7128" w:type="dxa"/>
            <w:shd w:val="clear" w:color="auto" w:fill="auto"/>
            <w:vAlign w:val="center"/>
          </w:tcPr>
          <w:p>
            <w:pPr>
              <w:rPr>
                <w:szCs w:val="21"/>
                <w:lang w:eastAsia="zh-CN"/>
              </w:rPr>
            </w:pPr>
            <w:r>
              <w:rPr>
                <w:rFonts w:hint="eastAsia" w:ascii="宋体" w:hAnsi="宋体"/>
                <w:lang w:eastAsia="zh-CN"/>
              </w:rPr>
              <w:t>设备开箱验收时供应商提供</w:t>
            </w:r>
            <w:r>
              <w:rPr>
                <w:color w:val="000000"/>
                <w:szCs w:val="21"/>
                <w:lang w:eastAsia="zh-CN"/>
              </w:rPr>
              <w:t>卖方发运清单及相关检验报告。</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ascii="宋体" w:hAnsi="宋体"/>
                <w:lang w:eastAsia="zh-CN"/>
              </w:rPr>
              <w:t>设备开箱验收时供应商提供</w:t>
            </w:r>
            <w:r>
              <w:rPr>
                <w:color w:val="000000"/>
                <w:szCs w:val="21"/>
                <w:lang w:eastAsia="zh-CN"/>
              </w:rPr>
              <w:t>功能设计说明，配置清单与说明</w:t>
            </w:r>
            <w:r>
              <w:rPr>
                <w:rFonts w:hint="eastAsia"/>
                <w:color w:val="000000"/>
                <w:szCs w:val="21"/>
                <w:lang w:eastAsia="zh-CN"/>
              </w:rPr>
              <w:t>，包含各组件名称、编号、型号、规格、品牌、材质等。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ascii="宋体" w:hAnsi="宋体"/>
                <w:lang w:eastAsia="zh-CN"/>
              </w:rPr>
              <w:t>设备开箱验收时供应商提供</w:t>
            </w:r>
            <w:r>
              <w:rPr>
                <w:rFonts w:hint="eastAsia"/>
                <w:color w:val="000000"/>
                <w:szCs w:val="21"/>
                <w:lang w:eastAsia="zh-CN"/>
              </w:rPr>
              <w:t>图纸：实物图；各种确认、维修等活动所需的电子版及打印版图纸（尺寸图、电气图、布局图、安装连接图、细节图、PLC图等）、P&amp;ID图（至少是控制原理图）、构架图等；图纸说明及清单。</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szCs w:val="21"/>
                <w:lang w:eastAsia="zh-CN"/>
              </w:rPr>
            </w:pPr>
            <w:r>
              <w:rPr>
                <w:rFonts w:hint="eastAsia" w:ascii="宋体" w:hAnsi="宋体"/>
                <w:lang w:eastAsia="zh-CN"/>
              </w:rPr>
              <w:t>设备开箱验收时供应商提供</w:t>
            </w:r>
            <w:r>
              <w:rPr>
                <w:color w:val="000000"/>
                <w:szCs w:val="21"/>
                <w:lang w:eastAsia="zh-CN"/>
              </w:rPr>
              <w:t>设备制造文件：工厂实验报告、材质（包括关键部件等）报告、合格证</w:t>
            </w:r>
            <w:r>
              <w:rPr>
                <w:rFonts w:hint="eastAsia"/>
                <w:color w:val="000000"/>
                <w:szCs w:val="21"/>
                <w:lang w:eastAsia="zh-CN"/>
              </w:rPr>
              <w:t>、</w:t>
            </w:r>
            <w:r>
              <w:rPr>
                <w:rFonts w:hint="eastAsia"/>
                <w:lang w:eastAsia="zh-CN"/>
              </w:rPr>
              <w:t>限速器及安全钳调试证书、型式试验报告、电梯使用说明书、维护及营救说明书等电梯相关资料。</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ascii="宋体" w:hAnsi="宋体"/>
                <w:lang w:eastAsia="zh-CN"/>
              </w:rPr>
              <w:t>设备开箱验收时供应商提供</w:t>
            </w:r>
            <w:r>
              <w:rPr>
                <w:color w:val="000000"/>
                <w:szCs w:val="21"/>
                <w:lang w:eastAsia="zh-CN"/>
              </w:rPr>
              <w:t>材料清单及材料证书（写明材料有效期）。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ascii="宋体" w:hAnsi="宋体"/>
                <w:lang w:eastAsia="zh-CN"/>
              </w:rPr>
              <w:t>设备开箱验收时供应商提供</w:t>
            </w:r>
            <w:r>
              <w:rPr>
                <w:color w:val="000000"/>
                <w:szCs w:val="21"/>
                <w:lang w:eastAsia="zh-CN"/>
              </w:rPr>
              <w:t>组件清单，包括名称、编号、对应厂家名称、生产地、规格及必要说明。</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ascii="宋体" w:hAnsi="宋体"/>
                <w:lang w:eastAsia="zh-CN"/>
              </w:rPr>
              <w:t>设备开箱验收时供应商提供</w:t>
            </w:r>
            <w:r>
              <w:rPr>
                <w:rFonts w:hint="eastAsia"/>
                <w:color w:val="000000"/>
                <w:szCs w:val="21"/>
                <w:lang w:eastAsia="zh-CN"/>
              </w:rPr>
              <w:t>调试文件：调试计划、调试方案、设备测试记录，检测清单，测试报告，调试总结报告、现场验收报告等。</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ascii="宋体" w:hAnsi="宋体"/>
                <w:lang w:eastAsia="zh-CN"/>
              </w:rPr>
              <w:t>设备开箱验收时供应商提供</w:t>
            </w:r>
            <w:r>
              <w:rPr>
                <w:rFonts w:hint="eastAsia"/>
                <w:color w:val="000000"/>
                <w:szCs w:val="21"/>
                <w:lang w:eastAsia="zh-CN"/>
              </w:rPr>
              <w:t>仪器仪表清单和相关校验报告及计量证书（提供所有在该设备上安装的仪表、传感器的校验证书，且证书有效期自设备到货之日起不少于8个月）。</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jc w:val="both"/>
              <w:rPr>
                <w:color w:val="000000"/>
                <w:szCs w:val="21"/>
                <w:lang w:eastAsia="zh-CN"/>
              </w:rPr>
            </w:pPr>
            <w:r>
              <w:rPr>
                <w:rFonts w:hint="eastAsia" w:ascii="宋体" w:hAnsi="宋体"/>
                <w:lang w:eastAsia="zh-CN"/>
              </w:rPr>
              <w:t>设备开箱验收时供应商提供</w:t>
            </w:r>
            <w:r>
              <w:rPr>
                <w:color w:val="000000"/>
                <w:szCs w:val="21"/>
                <w:lang w:eastAsia="zh-CN"/>
              </w:rPr>
              <w:t>提供必要的设备及其零部件使用寿命说明并注明组件的保修期。</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rFonts w:hint="eastAsia" w:ascii="宋体" w:hAnsi="宋体"/>
                <w:lang w:eastAsia="zh-CN"/>
              </w:rPr>
              <w:t>设备开箱验收时供应商提供</w:t>
            </w:r>
            <w:r>
              <w:rPr>
                <w:color w:val="000000"/>
                <w:szCs w:val="21"/>
                <w:lang w:eastAsia="zh-CN"/>
              </w:rPr>
              <w:t>使用操作说明书及维护保养说明书</w:t>
            </w:r>
            <w:r>
              <w:rPr>
                <w:rFonts w:hint="eastAsia"/>
                <w:color w:val="000000"/>
                <w:szCs w:val="21"/>
                <w:lang w:eastAsia="zh-CN"/>
              </w:rPr>
              <w:t>（中文版本）3份</w:t>
            </w:r>
            <w:r>
              <w:rPr>
                <w:color w:val="000000"/>
                <w:szCs w:val="21"/>
                <w:lang w:eastAsia="zh-CN"/>
              </w:rPr>
              <w:t>，所有技术、确认、说明文件均提供电子版。</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color w:val="000000"/>
                <w:szCs w:val="21"/>
                <w:lang w:eastAsia="zh-CN"/>
              </w:rPr>
            </w:pPr>
            <w:r>
              <w:rPr>
                <w:rFonts w:hint="eastAsia" w:ascii="宋体" w:hAnsi="宋体"/>
                <w:lang w:eastAsia="zh-CN"/>
              </w:rPr>
              <w:t>设备开箱验收时供应商提供</w:t>
            </w:r>
            <w:r>
              <w:rPr>
                <w:rFonts w:hint="eastAsia"/>
                <w:color w:val="000000"/>
                <w:szCs w:val="21"/>
                <w:lang w:eastAsia="zh-CN"/>
              </w:rPr>
              <w:t>安全报告。</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lang w:eastAsia="zh-CN"/>
              </w:rPr>
            </w:pPr>
            <w:r>
              <w:rPr>
                <w:rFonts w:hint="eastAsia"/>
                <w:lang w:eastAsia="zh-CN"/>
              </w:rPr>
              <w:t>电梯安装前，安装方须到江夏区市场监督管理局办理电梯安装告知手续，并将告知书交武汉公司安全管理部备案。</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lang w:eastAsia="zh-CN"/>
              </w:rPr>
            </w:pPr>
            <w:r>
              <w:rPr>
                <w:rFonts w:hint="eastAsia"/>
                <w:lang w:eastAsia="zh-CN"/>
              </w:rPr>
              <w:t>电梯安装完成后的15日内，供货商须向武汉市特种设备监督检验所办理电梯的监督检验和使用登记手续，检验证书和使用登记证交武汉公司安全管理部备案。</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1"/>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5" w:name="_Toc522716125"/>
      <w:r>
        <w:rPr>
          <w:rFonts w:ascii="Times New Roman" w:hAnsi="Times New Roman"/>
          <w:b/>
          <w:szCs w:val="21"/>
        </w:rPr>
        <w:t>服务要求</w:t>
      </w:r>
      <w:bookmarkEnd w:id="45"/>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2" w:edGrp="everyone"/>
            <w:permEnd w:id="32"/>
            <w:r>
              <w:rPr>
                <w:b/>
                <w:szCs w:val="21"/>
              </w:rPr>
              <w:t>编号</w:t>
            </w:r>
          </w:p>
        </w:tc>
        <w:tc>
          <w:tcPr>
            <w:tcW w:w="7128"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3" w:edGrp="everyone"/>
          </w:p>
        </w:tc>
        <w:tc>
          <w:tcPr>
            <w:tcW w:w="7128" w:type="dxa"/>
            <w:shd w:val="clear" w:color="auto" w:fill="auto"/>
            <w:vAlign w:val="center"/>
          </w:tcPr>
          <w:p>
            <w:pPr>
              <w:spacing w:line="276" w:lineRule="auto"/>
              <w:jc w:val="both"/>
              <w:rPr>
                <w:szCs w:val="21"/>
                <w:lang w:eastAsia="zh-CN"/>
              </w:rPr>
            </w:pPr>
            <w:r>
              <w:rPr>
                <w:lang w:eastAsia="zh-CN"/>
              </w:rPr>
              <w:t>设备供应商应免费对设备使用方人员进行全面培训，</w:t>
            </w:r>
            <w:r>
              <w:rPr>
                <w:rFonts w:hint="eastAsia"/>
                <w:lang w:eastAsia="zh-CN"/>
              </w:rPr>
              <w:t>培训要求为使用人员能正确操作设备。</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4" w:edGrp="everyone"/>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应配备可锁定的坚固运输箱。</w:t>
            </w:r>
            <w:r>
              <w:rPr>
                <w:lang w:eastAsia="zh-CN"/>
              </w:rPr>
              <w:t>设备运输在运输途中需做好防护措施，不得有任何损伤。</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8D8D8" w:themeFill="background1" w:themeFillShade="D9"/>
            <w:vAlign w:val="center"/>
          </w:tcPr>
          <w:p>
            <w:pPr>
              <w:pStyle w:val="31"/>
              <w:ind w:firstLine="0" w:firstLineChars="0"/>
              <w:rPr>
                <w:rFonts w:ascii="Times New Roman" w:hAnsi="Times New Roman"/>
                <w:color w:val="FF0000"/>
                <w:szCs w:val="21"/>
              </w:rPr>
            </w:pPr>
            <w:permStart w:id="35" w:edGrp="everyone"/>
          </w:p>
        </w:tc>
        <w:tc>
          <w:tcPr>
            <w:tcW w:w="9253" w:type="dxa"/>
            <w:gridSpan w:val="2"/>
            <w:shd w:val="clear" w:color="auto" w:fill="auto"/>
            <w:vAlign w:val="center"/>
          </w:tcPr>
          <w:p>
            <w:pPr>
              <w:spacing w:line="360" w:lineRule="auto"/>
              <w:rPr>
                <w:szCs w:val="21"/>
                <w:lang w:eastAsia="zh-CN"/>
              </w:rPr>
            </w:pPr>
            <w:r>
              <w:rPr>
                <w:szCs w:val="21"/>
                <w:lang w:eastAsia="zh-CN"/>
              </w:rPr>
              <w:t>N/A</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6" w:edGrp="everyone"/>
          </w:p>
        </w:tc>
        <w:tc>
          <w:tcPr>
            <w:tcW w:w="7128" w:type="dxa"/>
            <w:shd w:val="clear" w:color="auto" w:fill="auto"/>
            <w:vAlign w:val="center"/>
          </w:tcPr>
          <w:p>
            <w:pPr>
              <w:spacing w:line="276" w:lineRule="auto"/>
              <w:jc w:val="both"/>
              <w:rPr>
                <w:szCs w:val="21"/>
                <w:lang w:eastAsia="zh-CN"/>
              </w:rPr>
            </w:pPr>
            <w:r>
              <w:rPr>
                <w:rFonts w:hint="eastAsia" w:ascii="宋体" w:hAnsi="宋体" w:cs="宋体"/>
                <w:szCs w:val="21"/>
                <w:lang w:eastAsia="zh-CN"/>
              </w:rPr>
              <w:t>设备保质期从设备验收合格之日起计算</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7" w:edGrp="everyone"/>
          </w:p>
        </w:tc>
        <w:tc>
          <w:tcPr>
            <w:tcW w:w="7128" w:type="dxa"/>
            <w:shd w:val="clear" w:color="auto" w:fill="auto"/>
            <w:vAlign w:val="center"/>
          </w:tcPr>
          <w:p>
            <w:pPr>
              <w:spacing w:line="276" w:lineRule="auto"/>
              <w:jc w:val="both"/>
              <w:rPr>
                <w:szCs w:val="21"/>
                <w:lang w:eastAsia="zh-CN"/>
              </w:rPr>
            </w:pPr>
            <w:r>
              <w:rPr>
                <w:rFonts w:hint="eastAsia" w:ascii="宋体" w:hAnsi="宋体" w:cs="宋体"/>
                <w:szCs w:val="21"/>
                <w:lang w:eastAsia="zh-CN"/>
              </w:rPr>
              <w:t>电梯的质保期为一年，需通过特种设备检测部门验收并取得登记合格证，从业主验收合格之日起计算，质量保证期内出现非人为因素损坏的，一律免费维修或更换配件，质保期内出现故障或质量问题，到达安装现场的响应时间不得超过</w:t>
            </w:r>
            <w:r>
              <w:rPr>
                <w:rFonts w:hint="eastAsia" w:ascii="宋体" w:hAnsi="宋体" w:cs="宋体"/>
                <w:szCs w:val="21"/>
                <w:lang w:val="en-US" w:eastAsia="zh-CN"/>
              </w:rPr>
              <w:t>1</w:t>
            </w:r>
            <w:r>
              <w:rPr>
                <w:rFonts w:hint="eastAsia" w:ascii="宋体" w:hAnsi="宋体" w:cs="宋体"/>
                <w:szCs w:val="21"/>
                <w:lang w:eastAsia="zh-CN"/>
              </w:rPr>
              <w:t>小时。供货方也可根据自己的情况，提出售前、售后服务内容，优惠条款及有关承诺，但不得低于上述要求。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szCs w:val="21"/>
                <w:lang w:eastAsia="zh-CN"/>
              </w:rPr>
            </w:pPr>
            <w:r>
              <w:rPr>
                <w:rFonts w:hint="eastAsia" w:ascii="宋体" w:hAnsi="宋体" w:cs="宋体"/>
                <w:szCs w:val="21"/>
                <w:lang w:eastAsia="zh-CN"/>
              </w:rPr>
              <w:t>一年免费保修期后，厂家应终生提供及时的维修、维护，厂家应定期回访，解决设备运行当中可能出现的疑问，排除潜在故障，使设备保持良好工作状态。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Cs w:val="21"/>
                <w:lang w:eastAsia="zh-CN"/>
              </w:rPr>
            </w:pPr>
            <w:r>
              <w:rPr>
                <w:rFonts w:hint="eastAsia" w:ascii="宋体" w:hAnsi="宋体" w:cs="宋体"/>
                <w:szCs w:val="21"/>
                <w:lang w:eastAsia="zh-CN"/>
              </w:rPr>
              <w:t>要求设备在签订合同后60天内到货。</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8" w:edGrp="everyone"/>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货物到达使用现场后，由买卖双方共同验收，卖方工程师免费为买方提供安装调试。</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Cs w:val="21"/>
                <w:lang w:eastAsia="zh-CN"/>
              </w:rPr>
            </w:pPr>
            <w:r>
              <w:rPr>
                <w:rFonts w:hint="eastAsia" w:ascii="宋体" w:hAnsi="宋体" w:cs="宋体"/>
                <w:szCs w:val="21"/>
                <w:lang w:eastAsia="zh-CN"/>
              </w:rPr>
              <w:t>供应商进厂安装需遵守安全和安装规定。</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Cs w:val="21"/>
                <w:lang w:eastAsia="zh-CN"/>
              </w:rPr>
            </w:pPr>
            <w:r>
              <w:rPr>
                <w:rFonts w:hint="eastAsia" w:ascii="宋体" w:hAnsi="宋体" w:cs="宋体"/>
                <w:szCs w:val="21"/>
                <w:lang w:eastAsia="zh-CN"/>
              </w:rPr>
              <w:t>最后验收前必须保证所有的验收工作已完成和达到要求。</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olor w:val="000000"/>
                <w:szCs w:val="21"/>
                <w:lang w:eastAsia="zh-CN"/>
              </w:rPr>
            </w:pPr>
            <w:r>
              <w:rPr>
                <w:rFonts w:hint="eastAsia" w:ascii="宋体" w:hAnsi="宋体" w:cs="宋体"/>
                <w:szCs w:val="21"/>
                <w:lang w:eastAsia="zh-CN"/>
              </w:rPr>
              <w:t>确认验收合格后，买卖双方签订验收报告。确认验收合格应包含所有附件及备件。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设备在交付使用前必须通过安装所在地质监局及安装所在地特种设备监督管理局的验收并取得使用证。</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整套设备图纸及技术文件都己提交并得到接受投标人在投标时必须提供设备制造、安装调试及检验、验收的国家、行业或企业标准清单，并严格按照有关标准组织生产和验收。</w:t>
            </w:r>
          </w:p>
        </w:tc>
        <w:tc>
          <w:tcPr>
            <w:tcW w:w="2125" w:type="dxa"/>
            <w:shd w:val="clear" w:color="auto" w:fill="auto"/>
            <w:vAlign w:val="center"/>
          </w:tcPr>
          <w:p>
            <w:pPr>
              <w:jc w:val="center"/>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
        </w:tc>
        <w:tc>
          <w:tcPr>
            <w:tcW w:w="7128" w:type="dxa"/>
            <w:shd w:val="clear" w:color="auto" w:fill="auto"/>
            <w:vAlign w:val="center"/>
          </w:tcPr>
          <w:p>
            <w:pPr>
              <w:spacing w:line="276" w:lineRule="auto"/>
              <w:jc w:val="both"/>
              <w:rPr>
                <w:rFonts w:ascii="宋体" w:hAnsi="宋体" w:cs="宋体"/>
                <w:szCs w:val="21"/>
                <w:lang w:eastAsia="zh-CN"/>
              </w:rPr>
            </w:pPr>
            <w:r>
              <w:rPr>
                <w:rFonts w:hint="eastAsia" w:ascii="宋体" w:hAnsi="宋体" w:cs="宋体"/>
                <w:szCs w:val="21"/>
                <w:lang w:eastAsia="zh-CN"/>
              </w:rPr>
              <w:t>采购设备的设计、制造、安装、调试、记录、试运行与验收及技术监督部门办证等必须符合国家标准GB 7588-2003《电梯制造与安装安全规范》、GBl0060—2011《电梯安装验收规范》中的有关规定，中标人应确保通过安全监督部门合格、发给准用证等，直至拿到质量管理部门和劳动部门的验收证书，以上一切费用均由中标人承担。</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10" w:type="dxa"/>
            <w:shd w:val="clear" w:color="auto" w:fill="auto"/>
            <w:vAlign w:val="center"/>
          </w:tcPr>
          <w:p>
            <w:pPr>
              <w:pStyle w:val="31"/>
              <w:numPr>
                <w:ilvl w:val="0"/>
                <w:numId w:val="7"/>
              </w:numPr>
              <w:ind w:left="470" w:hanging="120" w:firstLineChars="0"/>
              <w:rPr>
                <w:rFonts w:ascii="Times New Roman" w:hAnsi="Times New Roman"/>
                <w:szCs w:val="21"/>
              </w:rPr>
            </w:pPr>
            <w:permStart w:id="39" w:edGrp="everyone"/>
          </w:p>
        </w:tc>
        <w:tc>
          <w:tcPr>
            <w:tcW w:w="7128" w:type="dxa"/>
            <w:shd w:val="clear" w:color="auto" w:fill="auto"/>
            <w:vAlign w:val="center"/>
          </w:tcPr>
          <w:p>
            <w:pPr>
              <w:spacing w:line="276" w:lineRule="auto"/>
              <w:jc w:val="both"/>
              <w:rPr>
                <w:szCs w:val="21"/>
                <w:lang w:eastAsia="zh-CN"/>
              </w:rPr>
            </w:pPr>
            <w:r>
              <w:rPr>
                <w:rFonts w:hint="eastAsia" w:ascii="宋体" w:hAnsi="宋体"/>
                <w:color w:val="000000"/>
                <w:szCs w:val="21"/>
                <w:lang w:eastAsia="zh-CN"/>
              </w:rPr>
              <w:t>使用方在设备到货后，厂家需陪同检查确认数量、质量、外包装和相关资质证明是否符合本URS要求。若不符合按合同要求处理。</w:t>
            </w:r>
          </w:p>
        </w:tc>
        <w:tc>
          <w:tcPr>
            <w:tcW w:w="2125" w:type="dxa"/>
            <w:shd w:val="clear" w:color="auto" w:fill="auto"/>
            <w:vAlign w:val="center"/>
          </w:tcPr>
          <w:p>
            <w:pPr>
              <w:jc w:val="center"/>
              <w:rPr>
                <w:szCs w:val="21"/>
                <w:lang w:eastAsia="zh-CN"/>
              </w:rPr>
            </w:pPr>
            <w:r>
              <w:rPr>
                <w:rFonts w:hint="eastAsia"/>
                <w:szCs w:val="21"/>
                <w:lang w:eastAsia="zh-CN"/>
              </w:rPr>
              <w:t>关键</w:t>
            </w:r>
          </w:p>
        </w:tc>
      </w:tr>
      <w:permEnd w:id="39"/>
    </w:tbl>
    <w:p/>
    <w:p>
      <w:pPr>
        <w:pStyle w:val="31"/>
        <w:numPr>
          <w:ilvl w:val="0"/>
          <w:numId w:val="3"/>
        </w:numPr>
        <w:spacing w:after="158" w:afterLines="50"/>
        <w:ind w:left="426" w:hanging="426" w:hangingChars="202"/>
        <w:outlineLvl w:val="0"/>
        <w:rPr>
          <w:rFonts w:ascii="Times New Roman" w:hAnsi="Times New Roman"/>
          <w:b/>
        </w:rPr>
      </w:pPr>
      <w:bookmarkStart w:id="46" w:name="_Toc522107746"/>
      <w:bookmarkStart w:id="47" w:name="_Toc522716126"/>
      <w:r>
        <w:rPr>
          <w:rFonts w:ascii="Times New Roman" w:hAnsi="Times New Roman"/>
          <w:b/>
        </w:rPr>
        <w:t>附件</w:t>
      </w:r>
      <w:bookmarkEnd w:id="46"/>
      <w:bookmarkEnd w:id="47"/>
    </w:p>
    <w:bookmarkEnd w:id="30"/>
    <w:bookmarkEnd w:id="31"/>
    <w:bookmarkEnd w:id="32"/>
    <w:bookmarkEnd w:id="33"/>
    <w:bookmarkEnd w:id="34"/>
    <w:bookmarkEnd w:id="35"/>
    <w:bookmarkEnd w:id="36"/>
    <w:bookmarkEnd w:id="37"/>
    <w:bookmarkEnd w:id="38"/>
    <w:bookmarkEnd w:id="39"/>
    <w:bookmarkEnd w:id="40"/>
    <w:bookmarkEnd w:id="41"/>
    <w:p>
      <w:pPr>
        <w:pStyle w:val="41"/>
        <w:spacing w:before="0" w:line="360" w:lineRule="auto"/>
        <w:ind w:left="357"/>
        <w:jc w:val="left"/>
        <w:rPr>
          <w:szCs w:val="21"/>
          <w:lang w:eastAsia="zh-CN"/>
        </w:rPr>
      </w:pPr>
      <w:permStart w:id="40" w:edGrp="everyone"/>
      <w:r>
        <w:rPr>
          <w:rFonts w:hint="eastAsia"/>
          <w:szCs w:val="21"/>
          <w:lang w:eastAsia="zh-CN"/>
        </w:rPr>
        <w:t>N/A</w:t>
      </w:r>
      <w:permEnd w:id="40"/>
    </w:p>
    <w:sectPr>
      <w:footerReference r:id="rId3"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6"/>
        <w:tab w:val="clear" w:pos="8640"/>
      </w:tabs>
      <w:ind w:right="-285"/>
      <w:rPr>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2689A"/>
    <w:multiLevelType w:val="multilevel"/>
    <w:tmpl w:val="0892689A"/>
    <w:lvl w:ilvl="0" w:tentative="0">
      <w:start w:val="1"/>
      <w:numFmt w:val="decimal"/>
      <w:lvlText w:val="6.%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sz w:val="22"/>
      </w:rPr>
    </w:lvl>
    <w:lvl w:ilvl="1" w:tentative="0">
      <w:start w:val="1"/>
      <w:numFmt w:val="decimal"/>
      <w:lvlText w:val="%1.%2."/>
      <w:lvlJc w:val="left"/>
      <w:pPr>
        <w:tabs>
          <w:tab w:val="left" w:pos="567"/>
        </w:tabs>
        <w:ind w:left="567" w:hanging="567"/>
      </w:pPr>
      <w:rPr>
        <w:rFonts w:hint="default"/>
        <w:sz w:val="22"/>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
    <w:nsid w:val="0BB07E03"/>
    <w:multiLevelType w:val="multilevel"/>
    <w:tmpl w:val="0BB07E03"/>
    <w:lvl w:ilvl="0" w:tentative="0">
      <w:start w:val="1"/>
      <w:numFmt w:val="decimal"/>
      <w:lvlText w:val="9.%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273409"/>
    <w:multiLevelType w:val="multilevel"/>
    <w:tmpl w:val="11273409"/>
    <w:lvl w:ilvl="0" w:tentative="0">
      <w:start w:val="1"/>
      <w:numFmt w:val="decimal"/>
      <w:lvlText w:val="7.%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341CC"/>
    <w:multiLevelType w:val="multilevel"/>
    <w:tmpl w:val="16D341CC"/>
    <w:lvl w:ilvl="0" w:tentative="0">
      <w:start w:val="1"/>
      <w:numFmt w:val="decimal"/>
      <w:lvlText w:val="URS %1"/>
      <w:lvlJc w:val="left"/>
      <w:pPr>
        <w:ind w:left="1413" w:hanging="420"/>
      </w:pPr>
      <w:rPr>
        <w:rFonts w:hint="eastAsia"/>
        <w:color w:val="auto"/>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20B1F6D"/>
    <w:multiLevelType w:val="multilevel"/>
    <w:tmpl w:val="320B1F6D"/>
    <w:lvl w:ilvl="0" w:tentative="0">
      <w:start w:val="1"/>
      <w:numFmt w:val="decimal"/>
      <w:lvlText w:val="8.%1"/>
      <w:lvlJc w:val="left"/>
      <w:pPr>
        <w:ind w:left="777" w:hanging="420"/>
      </w:pPr>
      <w:rPr>
        <w:rFonts w:hint="eastAsia"/>
      </w:rPr>
    </w:lvl>
    <w:lvl w:ilvl="1" w:tentative="0">
      <w:start w:val="1"/>
      <w:numFmt w:val="lowerLetter"/>
      <w:lvlText w:val="%2)"/>
      <w:lvlJc w:val="left"/>
      <w:pPr>
        <w:ind w:left="840" w:hanging="420"/>
      </w:pPr>
    </w:lvl>
    <w:lvl w:ilvl="2" w:tentative="0">
      <w:start w:val="1"/>
      <w:numFmt w:val="decimal"/>
      <w:lvlText w:val="8.%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9A640C"/>
    <w:multiLevelType w:val="multilevel"/>
    <w:tmpl w:val="549A640C"/>
    <w:lvl w:ilvl="0" w:tentative="0">
      <w:start w:val="1"/>
      <w:numFmt w:val="decimal"/>
      <w:lvlText w:val="12.%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9402F4"/>
    <w:multiLevelType w:val="multilevel"/>
    <w:tmpl w:val="629402F4"/>
    <w:lvl w:ilvl="0" w:tentative="0">
      <w:start w:val="1"/>
      <w:numFmt w:val="decimal"/>
      <w:lvlText w:val="3.%1"/>
      <w:lvlJc w:val="left"/>
      <w:pPr>
        <w:ind w:left="77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6546ED"/>
    <w:multiLevelType w:val="multilevel"/>
    <w:tmpl w:val="686546ED"/>
    <w:lvl w:ilvl="0" w:tentative="0">
      <w:start w:val="1"/>
      <w:numFmt w:val="decimal"/>
      <w:pStyle w:val="37"/>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0"/>
  </w:num>
  <w:num w:numId="3">
    <w:abstractNumId w:val="6"/>
  </w:num>
  <w:num w:numId="4">
    <w:abstractNumId w:val="9"/>
  </w:num>
  <w:num w:numId="5">
    <w:abstractNumId w:val="5"/>
  </w:num>
  <w:num w:numId="6">
    <w:abstractNumId w:val="0"/>
  </w:num>
  <w:num w:numId="7">
    <w:abstractNumId w:val="4"/>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useFELayout/>
    <w:compatSetting w:name="compatibilityMode" w:uri="http://schemas.microsoft.com/office/word" w:val="12"/>
  </w:compat>
  <w:rsids>
    <w:rsidRoot w:val="00391016"/>
    <w:rsid w:val="0000056E"/>
    <w:rsid w:val="00000DBC"/>
    <w:rsid w:val="00001AE0"/>
    <w:rsid w:val="000021A6"/>
    <w:rsid w:val="00002F06"/>
    <w:rsid w:val="000038A4"/>
    <w:rsid w:val="0000520B"/>
    <w:rsid w:val="000059AD"/>
    <w:rsid w:val="00005CB9"/>
    <w:rsid w:val="00005E76"/>
    <w:rsid w:val="00006273"/>
    <w:rsid w:val="00006FD5"/>
    <w:rsid w:val="0001160E"/>
    <w:rsid w:val="0001169C"/>
    <w:rsid w:val="000117C7"/>
    <w:rsid w:val="00012EC4"/>
    <w:rsid w:val="00015DA5"/>
    <w:rsid w:val="000169DD"/>
    <w:rsid w:val="00020FEA"/>
    <w:rsid w:val="00022818"/>
    <w:rsid w:val="000233DE"/>
    <w:rsid w:val="00023B07"/>
    <w:rsid w:val="00023CAD"/>
    <w:rsid w:val="0002457E"/>
    <w:rsid w:val="000275E7"/>
    <w:rsid w:val="000303D0"/>
    <w:rsid w:val="00031243"/>
    <w:rsid w:val="00031900"/>
    <w:rsid w:val="000355F3"/>
    <w:rsid w:val="00037846"/>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D1"/>
    <w:rsid w:val="00056AE2"/>
    <w:rsid w:val="00056E9E"/>
    <w:rsid w:val="00057046"/>
    <w:rsid w:val="000576C2"/>
    <w:rsid w:val="00063572"/>
    <w:rsid w:val="00063B90"/>
    <w:rsid w:val="00064A43"/>
    <w:rsid w:val="000662D2"/>
    <w:rsid w:val="00071DD4"/>
    <w:rsid w:val="00072340"/>
    <w:rsid w:val="00072945"/>
    <w:rsid w:val="00073B81"/>
    <w:rsid w:val="00074095"/>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4BBE"/>
    <w:rsid w:val="00115728"/>
    <w:rsid w:val="001163FC"/>
    <w:rsid w:val="00116F39"/>
    <w:rsid w:val="00117A01"/>
    <w:rsid w:val="0012139A"/>
    <w:rsid w:val="00121B6E"/>
    <w:rsid w:val="00122051"/>
    <w:rsid w:val="00124244"/>
    <w:rsid w:val="00124E69"/>
    <w:rsid w:val="00125CC1"/>
    <w:rsid w:val="001273B0"/>
    <w:rsid w:val="00127CB8"/>
    <w:rsid w:val="00127F69"/>
    <w:rsid w:val="00130EE1"/>
    <w:rsid w:val="001313C3"/>
    <w:rsid w:val="00132F4C"/>
    <w:rsid w:val="00134C68"/>
    <w:rsid w:val="00135FD6"/>
    <w:rsid w:val="001374CF"/>
    <w:rsid w:val="001418E3"/>
    <w:rsid w:val="00142976"/>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67E6"/>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863"/>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B5ABB"/>
    <w:rsid w:val="001B7309"/>
    <w:rsid w:val="001B7651"/>
    <w:rsid w:val="001C017B"/>
    <w:rsid w:val="001C239E"/>
    <w:rsid w:val="001C2D7E"/>
    <w:rsid w:val="001C4DDE"/>
    <w:rsid w:val="001C5190"/>
    <w:rsid w:val="001D1FA0"/>
    <w:rsid w:val="001D32D4"/>
    <w:rsid w:val="001D3C96"/>
    <w:rsid w:val="001D4383"/>
    <w:rsid w:val="001D4742"/>
    <w:rsid w:val="001D474B"/>
    <w:rsid w:val="001D48B0"/>
    <w:rsid w:val="001D5549"/>
    <w:rsid w:val="001D6E18"/>
    <w:rsid w:val="001D71C5"/>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62C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02E7"/>
    <w:rsid w:val="00230BEE"/>
    <w:rsid w:val="002320D9"/>
    <w:rsid w:val="00234C07"/>
    <w:rsid w:val="002355FF"/>
    <w:rsid w:val="002367A6"/>
    <w:rsid w:val="00236BE9"/>
    <w:rsid w:val="00237E6C"/>
    <w:rsid w:val="002409AA"/>
    <w:rsid w:val="00240A09"/>
    <w:rsid w:val="00240B1E"/>
    <w:rsid w:val="00241437"/>
    <w:rsid w:val="0024371E"/>
    <w:rsid w:val="0024472D"/>
    <w:rsid w:val="00245088"/>
    <w:rsid w:val="002521CC"/>
    <w:rsid w:val="00253242"/>
    <w:rsid w:val="002547BF"/>
    <w:rsid w:val="002548CA"/>
    <w:rsid w:val="0025531B"/>
    <w:rsid w:val="002560F9"/>
    <w:rsid w:val="00257517"/>
    <w:rsid w:val="00257FA9"/>
    <w:rsid w:val="00261154"/>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2EB0"/>
    <w:rsid w:val="00293E83"/>
    <w:rsid w:val="0029741F"/>
    <w:rsid w:val="00297DDC"/>
    <w:rsid w:val="002A06AC"/>
    <w:rsid w:val="002A18C8"/>
    <w:rsid w:val="002A42F8"/>
    <w:rsid w:val="002A52BA"/>
    <w:rsid w:val="002A547B"/>
    <w:rsid w:val="002A588E"/>
    <w:rsid w:val="002A6D59"/>
    <w:rsid w:val="002A7980"/>
    <w:rsid w:val="002B0A7C"/>
    <w:rsid w:val="002B14F3"/>
    <w:rsid w:val="002B480A"/>
    <w:rsid w:val="002B67A2"/>
    <w:rsid w:val="002B6854"/>
    <w:rsid w:val="002C1817"/>
    <w:rsid w:val="002C1DAB"/>
    <w:rsid w:val="002C244E"/>
    <w:rsid w:val="002C2AA3"/>
    <w:rsid w:val="002C4FCF"/>
    <w:rsid w:val="002C527C"/>
    <w:rsid w:val="002C6F6B"/>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37FE"/>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2973"/>
    <w:rsid w:val="00323423"/>
    <w:rsid w:val="003240E5"/>
    <w:rsid w:val="00324B23"/>
    <w:rsid w:val="003257E0"/>
    <w:rsid w:val="00325FFA"/>
    <w:rsid w:val="00330D16"/>
    <w:rsid w:val="00330FFF"/>
    <w:rsid w:val="00333C91"/>
    <w:rsid w:val="00335FE8"/>
    <w:rsid w:val="0033695C"/>
    <w:rsid w:val="00341B2F"/>
    <w:rsid w:val="00342915"/>
    <w:rsid w:val="00344B04"/>
    <w:rsid w:val="00345847"/>
    <w:rsid w:val="00347576"/>
    <w:rsid w:val="00347772"/>
    <w:rsid w:val="00347A51"/>
    <w:rsid w:val="00347B19"/>
    <w:rsid w:val="003531FA"/>
    <w:rsid w:val="0035416F"/>
    <w:rsid w:val="003544A8"/>
    <w:rsid w:val="003549FE"/>
    <w:rsid w:val="00355AAC"/>
    <w:rsid w:val="00355D7D"/>
    <w:rsid w:val="00364544"/>
    <w:rsid w:val="003647CA"/>
    <w:rsid w:val="00365419"/>
    <w:rsid w:val="00370309"/>
    <w:rsid w:val="00370514"/>
    <w:rsid w:val="0037056A"/>
    <w:rsid w:val="003726DF"/>
    <w:rsid w:val="0037345A"/>
    <w:rsid w:val="00373FFA"/>
    <w:rsid w:val="0037455F"/>
    <w:rsid w:val="00376C31"/>
    <w:rsid w:val="00380C9A"/>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697F"/>
    <w:rsid w:val="003970BE"/>
    <w:rsid w:val="00397C18"/>
    <w:rsid w:val="003A04A8"/>
    <w:rsid w:val="003A1311"/>
    <w:rsid w:val="003A1EDB"/>
    <w:rsid w:val="003A2293"/>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3FC"/>
    <w:rsid w:val="003C6ECF"/>
    <w:rsid w:val="003C73BC"/>
    <w:rsid w:val="003D2243"/>
    <w:rsid w:val="003D3C09"/>
    <w:rsid w:val="003D3FC4"/>
    <w:rsid w:val="003D464A"/>
    <w:rsid w:val="003D4EFF"/>
    <w:rsid w:val="003D5F4A"/>
    <w:rsid w:val="003D662C"/>
    <w:rsid w:val="003D77E5"/>
    <w:rsid w:val="003E49F8"/>
    <w:rsid w:val="003E4F5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44E"/>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9A8"/>
    <w:rsid w:val="00480C3B"/>
    <w:rsid w:val="00480FE3"/>
    <w:rsid w:val="00481C94"/>
    <w:rsid w:val="00482F96"/>
    <w:rsid w:val="00484A8D"/>
    <w:rsid w:val="00486A4E"/>
    <w:rsid w:val="00486B09"/>
    <w:rsid w:val="0049139F"/>
    <w:rsid w:val="00494F07"/>
    <w:rsid w:val="00495B90"/>
    <w:rsid w:val="00496116"/>
    <w:rsid w:val="004965A0"/>
    <w:rsid w:val="00497335"/>
    <w:rsid w:val="00497E14"/>
    <w:rsid w:val="004A05A7"/>
    <w:rsid w:val="004A3F98"/>
    <w:rsid w:val="004A5532"/>
    <w:rsid w:val="004A5958"/>
    <w:rsid w:val="004A76DF"/>
    <w:rsid w:val="004B0A75"/>
    <w:rsid w:val="004B2190"/>
    <w:rsid w:val="004B5D2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2B29"/>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492"/>
    <w:rsid w:val="00516BB4"/>
    <w:rsid w:val="0051768F"/>
    <w:rsid w:val="00517A5D"/>
    <w:rsid w:val="00517E1E"/>
    <w:rsid w:val="005217E8"/>
    <w:rsid w:val="005220FE"/>
    <w:rsid w:val="005247DE"/>
    <w:rsid w:val="005259DE"/>
    <w:rsid w:val="00530B8F"/>
    <w:rsid w:val="00531434"/>
    <w:rsid w:val="00531754"/>
    <w:rsid w:val="00534840"/>
    <w:rsid w:val="00534D08"/>
    <w:rsid w:val="00536973"/>
    <w:rsid w:val="00536C6B"/>
    <w:rsid w:val="00537E65"/>
    <w:rsid w:val="00540C30"/>
    <w:rsid w:val="00542981"/>
    <w:rsid w:val="00544652"/>
    <w:rsid w:val="0054625B"/>
    <w:rsid w:val="00547723"/>
    <w:rsid w:val="00551539"/>
    <w:rsid w:val="00552EFE"/>
    <w:rsid w:val="00554ABB"/>
    <w:rsid w:val="0055552D"/>
    <w:rsid w:val="00555668"/>
    <w:rsid w:val="0055679E"/>
    <w:rsid w:val="0056090D"/>
    <w:rsid w:val="00561E9C"/>
    <w:rsid w:val="00565C7A"/>
    <w:rsid w:val="00567E14"/>
    <w:rsid w:val="005705A7"/>
    <w:rsid w:val="00571C79"/>
    <w:rsid w:val="0057277E"/>
    <w:rsid w:val="00572F0E"/>
    <w:rsid w:val="005741DA"/>
    <w:rsid w:val="00574D60"/>
    <w:rsid w:val="00575318"/>
    <w:rsid w:val="00577142"/>
    <w:rsid w:val="005773E5"/>
    <w:rsid w:val="00581AD5"/>
    <w:rsid w:val="00581C4E"/>
    <w:rsid w:val="00582DB0"/>
    <w:rsid w:val="00584B8E"/>
    <w:rsid w:val="00586EFD"/>
    <w:rsid w:val="00587AC1"/>
    <w:rsid w:val="00587DE8"/>
    <w:rsid w:val="00590694"/>
    <w:rsid w:val="00590AA6"/>
    <w:rsid w:val="00590CFE"/>
    <w:rsid w:val="00591A70"/>
    <w:rsid w:val="00592624"/>
    <w:rsid w:val="00593AF8"/>
    <w:rsid w:val="00593EC9"/>
    <w:rsid w:val="00594C34"/>
    <w:rsid w:val="0059625C"/>
    <w:rsid w:val="005964B1"/>
    <w:rsid w:val="005965FD"/>
    <w:rsid w:val="00597FCC"/>
    <w:rsid w:val="005A132A"/>
    <w:rsid w:val="005A337C"/>
    <w:rsid w:val="005A34B0"/>
    <w:rsid w:val="005A3ECF"/>
    <w:rsid w:val="005A6821"/>
    <w:rsid w:val="005A6C57"/>
    <w:rsid w:val="005B2393"/>
    <w:rsid w:val="005B27AE"/>
    <w:rsid w:val="005B750A"/>
    <w:rsid w:val="005C049B"/>
    <w:rsid w:val="005C2B89"/>
    <w:rsid w:val="005C2FA7"/>
    <w:rsid w:val="005C386F"/>
    <w:rsid w:val="005C42AC"/>
    <w:rsid w:val="005C4D05"/>
    <w:rsid w:val="005C506B"/>
    <w:rsid w:val="005C5F48"/>
    <w:rsid w:val="005C71BF"/>
    <w:rsid w:val="005C723D"/>
    <w:rsid w:val="005C7601"/>
    <w:rsid w:val="005D1094"/>
    <w:rsid w:val="005D1392"/>
    <w:rsid w:val="005D1AC9"/>
    <w:rsid w:val="005D3394"/>
    <w:rsid w:val="005D3989"/>
    <w:rsid w:val="005D42FF"/>
    <w:rsid w:val="005E2725"/>
    <w:rsid w:val="005E3BAB"/>
    <w:rsid w:val="005E65FA"/>
    <w:rsid w:val="005F19CE"/>
    <w:rsid w:val="005F28F4"/>
    <w:rsid w:val="005F43BB"/>
    <w:rsid w:val="005F503E"/>
    <w:rsid w:val="005F6CB3"/>
    <w:rsid w:val="005F7612"/>
    <w:rsid w:val="005F7663"/>
    <w:rsid w:val="005F7D63"/>
    <w:rsid w:val="006017E3"/>
    <w:rsid w:val="00607170"/>
    <w:rsid w:val="00607408"/>
    <w:rsid w:val="00610AEE"/>
    <w:rsid w:val="00616AAE"/>
    <w:rsid w:val="00616BAC"/>
    <w:rsid w:val="00620598"/>
    <w:rsid w:val="00620FEC"/>
    <w:rsid w:val="006214DC"/>
    <w:rsid w:val="006215E2"/>
    <w:rsid w:val="0062168F"/>
    <w:rsid w:val="006221A2"/>
    <w:rsid w:val="006259D1"/>
    <w:rsid w:val="00627113"/>
    <w:rsid w:val="00627B8B"/>
    <w:rsid w:val="0063106D"/>
    <w:rsid w:val="006312FF"/>
    <w:rsid w:val="00632136"/>
    <w:rsid w:val="00632C67"/>
    <w:rsid w:val="006331B6"/>
    <w:rsid w:val="00633310"/>
    <w:rsid w:val="00633315"/>
    <w:rsid w:val="00636215"/>
    <w:rsid w:val="006366CC"/>
    <w:rsid w:val="00637C16"/>
    <w:rsid w:val="0064048E"/>
    <w:rsid w:val="00641320"/>
    <w:rsid w:val="00641E74"/>
    <w:rsid w:val="006434E3"/>
    <w:rsid w:val="0064366A"/>
    <w:rsid w:val="00643AE3"/>
    <w:rsid w:val="00646987"/>
    <w:rsid w:val="006506CF"/>
    <w:rsid w:val="00650A76"/>
    <w:rsid w:val="00650CD0"/>
    <w:rsid w:val="00650DA4"/>
    <w:rsid w:val="00651DA5"/>
    <w:rsid w:val="00652D22"/>
    <w:rsid w:val="00656797"/>
    <w:rsid w:val="006571EC"/>
    <w:rsid w:val="00657606"/>
    <w:rsid w:val="0066086B"/>
    <w:rsid w:val="00660A8C"/>
    <w:rsid w:val="006632B2"/>
    <w:rsid w:val="00664084"/>
    <w:rsid w:val="0066445E"/>
    <w:rsid w:val="00667045"/>
    <w:rsid w:val="00670A00"/>
    <w:rsid w:val="00670C23"/>
    <w:rsid w:val="00672B86"/>
    <w:rsid w:val="00673031"/>
    <w:rsid w:val="00673950"/>
    <w:rsid w:val="00673EB3"/>
    <w:rsid w:val="00680BE8"/>
    <w:rsid w:val="00686409"/>
    <w:rsid w:val="00686D19"/>
    <w:rsid w:val="00687210"/>
    <w:rsid w:val="0068777F"/>
    <w:rsid w:val="00693018"/>
    <w:rsid w:val="006A0059"/>
    <w:rsid w:val="006A1A03"/>
    <w:rsid w:val="006A7425"/>
    <w:rsid w:val="006B058A"/>
    <w:rsid w:val="006B1299"/>
    <w:rsid w:val="006B26D9"/>
    <w:rsid w:val="006B310C"/>
    <w:rsid w:val="006B435A"/>
    <w:rsid w:val="006B56E7"/>
    <w:rsid w:val="006B664C"/>
    <w:rsid w:val="006C1125"/>
    <w:rsid w:val="006C1C83"/>
    <w:rsid w:val="006C3E78"/>
    <w:rsid w:val="006C54E6"/>
    <w:rsid w:val="006C5762"/>
    <w:rsid w:val="006C658C"/>
    <w:rsid w:val="006C690D"/>
    <w:rsid w:val="006D149F"/>
    <w:rsid w:val="006D3396"/>
    <w:rsid w:val="006D5AFF"/>
    <w:rsid w:val="006E050C"/>
    <w:rsid w:val="006E152B"/>
    <w:rsid w:val="006E160C"/>
    <w:rsid w:val="006E36D1"/>
    <w:rsid w:val="006E4002"/>
    <w:rsid w:val="006E4DB6"/>
    <w:rsid w:val="006E622E"/>
    <w:rsid w:val="006E7938"/>
    <w:rsid w:val="006E79FB"/>
    <w:rsid w:val="006F229A"/>
    <w:rsid w:val="006F3BB9"/>
    <w:rsid w:val="006F4AA6"/>
    <w:rsid w:val="007007FA"/>
    <w:rsid w:val="007016C2"/>
    <w:rsid w:val="007036CA"/>
    <w:rsid w:val="007041CB"/>
    <w:rsid w:val="00705090"/>
    <w:rsid w:val="00705102"/>
    <w:rsid w:val="00705DDB"/>
    <w:rsid w:val="0070675E"/>
    <w:rsid w:val="00706A0E"/>
    <w:rsid w:val="00710573"/>
    <w:rsid w:val="00710808"/>
    <w:rsid w:val="007116CB"/>
    <w:rsid w:val="0071211E"/>
    <w:rsid w:val="00712B1B"/>
    <w:rsid w:val="00712CE8"/>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42C03"/>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68A8"/>
    <w:rsid w:val="0077746F"/>
    <w:rsid w:val="007775FE"/>
    <w:rsid w:val="00777FE8"/>
    <w:rsid w:val="00780A5F"/>
    <w:rsid w:val="00783DBF"/>
    <w:rsid w:val="00784913"/>
    <w:rsid w:val="007854C9"/>
    <w:rsid w:val="00785B90"/>
    <w:rsid w:val="0078639C"/>
    <w:rsid w:val="007913D3"/>
    <w:rsid w:val="00794435"/>
    <w:rsid w:val="007945DE"/>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B7FEE"/>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0AD1"/>
    <w:rsid w:val="007E119A"/>
    <w:rsid w:val="007E3532"/>
    <w:rsid w:val="007E5FE3"/>
    <w:rsid w:val="007E64DF"/>
    <w:rsid w:val="007E657D"/>
    <w:rsid w:val="007E7119"/>
    <w:rsid w:val="007E71BB"/>
    <w:rsid w:val="007E7B90"/>
    <w:rsid w:val="007E7C13"/>
    <w:rsid w:val="007F2464"/>
    <w:rsid w:val="007F4A64"/>
    <w:rsid w:val="007F4ADE"/>
    <w:rsid w:val="007F5A5A"/>
    <w:rsid w:val="007F5DDC"/>
    <w:rsid w:val="007F5EDC"/>
    <w:rsid w:val="00800AFD"/>
    <w:rsid w:val="00800C1B"/>
    <w:rsid w:val="0080239D"/>
    <w:rsid w:val="00803CF3"/>
    <w:rsid w:val="00804FC9"/>
    <w:rsid w:val="00806EAB"/>
    <w:rsid w:val="00810E52"/>
    <w:rsid w:val="00811CA7"/>
    <w:rsid w:val="0081636E"/>
    <w:rsid w:val="0082112E"/>
    <w:rsid w:val="00822F2B"/>
    <w:rsid w:val="00823D9A"/>
    <w:rsid w:val="00827964"/>
    <w:rsid w:val="00827EA4"/>
    <w:rsid w:val="008301D6"/>
    <w:rsid w:val="008305B7"/>
    <w:rsid w:val="00830C78"/>
    <w:rsid w:val="00830FB9"/>
    <w:rsid w:val="00831273"/>
    <w:rsid w:val="00834968"/>
    <w:rsid w:val="00834A21"/>
    <w:rsid w:val="00834B53"/>
    <w:rsid w:val="008400DA"/>
    <w:rsid w:val="00840298"/>
    <w:rsid w:val="00840519"/>
    <w:rsid w:val="00841BE4"/>
    <w:rsid w:val="00845A53"/>
    <w:rsid w:val="00847E8C"/>
    <w:rsid w:val="008505E1"/>
    <w:rsid w:val="00850990"/>
    <w:rsid w:val="00850B19"/>
    <w:rsid w:val="00852488"/>
    <w:rsid w:val="0085405E"/>
    <w:rsid w:val="0085569E"/>
    <w:rsid w:val="008571DD"/>
    <w:rsid w:val="0085772E"/>
    <w:rsid w:val="0086026A"/>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6B16"/>
    <w:rsid w:val="00887265"/>
    <w:rsid w:val="00887500"/>
    <w:rsid w:val="008905AD"/>
    <w:rsid w:val="008915C3"/>
    <w:rsid w:val="008920F2"/>
    <w:rsid w:val="0089348A"/>
    <w:rsid w:val="00894E9F"/>
    <w:rsid w:val="00895424"/>
    <w:rsid w:val="00896CEC"/>
    <w:rsid w:val="008976CF"/>
    <w:rsid w:val="008A0128"/>
    <w:rsid w:val="008A06BC"/>
    <w:rsid w:val="008A0AA3"/>
    <w:rsid w:val="008A0EAA"/>
    <w:rsid w:val="008A149F"/>
    <w:rsid w:val="008A19FD"/>
    <w:rsid w:val="008A1A25"/>
    <w:rsid w:val="008A3CB0"/>
    <w:rsid w:val="008A4E05"/>
    <w:rsid w:val="008A56DB"/>
    <w:rsid w:val="008A6CFC"/>
    <w:rsid w:val="008B2125"/>
    <w:rsid w:val="008B25D4"/>
    <w:rsid w:val="008B2916"/>
    <w:rsid w:val="008B38E5"/>
    <w:rsid w:val="008B50EC"/>
    <w:rsid w:val="008B58C4"/>
    <w:rsid w:val="008B6CD2"/>
    <w:rsid w:val="008B72DD"/>
    <w:rsid w:val="008C050B"/>
    <w:rsid w:val="008C1132"/>
    <w:rsid w:val="008C302A"/>
    <w:rsid w:val="008C32D1"/>
    <w:rsid w:val="008C3E42"/>
    <w:rsid w:val="008C4B72"/>
    <w:rsid w:val="008C5279"/>
    <w:rsid w:val="008C527D"/>
    <w:rsid w:val="008C5C9F"/>
    <w:rsid w:val="008C6773"/>
    <w:rsid w:val="008C72BB"/>
    <w:rsid w:val="008D078D"/>
    <w:rsid w:val="008D140C"/>
    <w:rsid w:val="008D2BAE"/>
    <w:rsid w:val="008D2C9E"/>
    <w:rsid w:val="008D41F5"/>
    <w:rsid w:val="008D521F"/>
    <w:rsid w:val="008D5C06"/>
    <w:rsid w:val="008D6227"/>
    <w:rsid w:val="008D7A8B"/>
    <w:rsid w:val="008E41D3"/>
    <w:rsid w:val="008E43F1"/>
    <w:rsid w:val="008E594F"/>
    <w:rsid w:val="008E7312"/>
    <w:rsid w:val="008F297F"/>
    <w:rsid w:val="008F447E"/>
    <w:rsid w:val="008F5E00"/>
    <w:rsid w:val="00900E7A"/>
    <w:rsid w:val="00904BA9"/>
    <w:rsid w:val="00904E7E"/>
    <w:rsid w:val="0091086B"/>
    <w:rsid w:val="00911129"/>
    <w:rsid w:val="00912EA3"/>
    <w:rsid w:val="00914B6E"/>
    <w:rsid w:val="009156A2"/>
    <w:rsid w:val="0091579A"/>
    <w:rsid w:val="0091615D"/>
    <w:rsid w:val="00923F7E"/>
    <w:rsid w:val="00924C96"/>
    <w:rsid w:val="00925030"/>
    <w:rsid w:val="0092506A"/>
    <w:rsid w:val="00925B32"/>
    <w:rsid w:val="00930A64"/>
    <w:rsid w:val="00930BE5"/>
    <w:rsid w:val="00931403"/>
    <w:rsid w:val="00933554"/>
    <w:rsid w:val="00934991"/>
    <w:rsid w:val="009351A7"/>
    <w:rsid w:val="009426B9"/>
    <w:rsid w:val="00943EAB"/>
    <w:rsid w:val="00944E85"/>
    <w:rsid w:val="0094634C"/>
    <w:rsid w:val="009463AB"/>
    <w:rsid w:val="00946AF5"/>
    <w:rsid w:val="00950239"/>
    <w:rsid w:val="00950332"/>
    <w:rsid w:val="00953DE8"/>
    <w:rsid w:val="00955899"/>
    <w:rsid w:val="00955A03"/>
    <w:rsid w:val="009566F7"/>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5BE9"/>
    <w:rsid w:val="0097693C"/>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4BF9"/>
    <w:rsid w:val="009A5218"/>
    <w:rsid w:val="009A6806"/>
    <w:rsid w:val="009B1717"/>
    <w:rsid w:val="009B22D2"/>
    <w:rsid w:val="009B2839"/>
    <w:rsid w:val="009B4C17"/>
    <w:rsid w:val="009B5BF6"/>
    <w:rsid w:val="009C1C79"/>
    <w:rsid w:val="009C339C"/>
    <w:rsid w:val="009C33B8"/>
    <w:rsid w:val="009C5605"/>
    <w:rsid w:val="009C6C33"/>
    <w:rsid w:val="009D07A0"/>
    <w:rsid w:val="009D107D"/>
    <w:rsid w:val="009D1871"/>
    <w:rsid w:val="009D2985"/>
    <w:rsid w:val="009D3033"/>
    <w:rsid w:val="009D5770"/>
    <w:rsid w:val="009D5C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1A9E"/>
    <w:rsid w:val="00A020A2"/>
    <w:rsid w:val="00A0297B"/>
    <w:rsid w:val="00A0358E"/>
    <w:rsid w:val="00A049F9"/>
    <w:rsid w:val="00A0529B"/>
    <w:rsid w:val="00A0766F"/>
    <w:rsid w:val="00A10713"/>
    <w:rsid w:val="00A1252C"/>
    <w:rsid w:val="00A13B8B"/>
    <w:rsid w:val="00A147D9"/>
    <w:rsid w:val="00A151B7"/>
    <w:rsid w:val="00A21225"/>
    <w:rsid w:val="00A2139C"/>
    <w:rsid w:val="00A218F9"/>
    <w:rsid w:val="00A21E37"/>
    <w:rsid w:val="00A23314"/>
    <w:rsid w:val="00A235BB"/>
    <w:rsid w:val="00A23F10"/>
    <w:rsid w:val="00A23F72"/>
    <w:rsid w:val="00A26AB8"/>
    <w:rsid w:val="00A271C5"/>
    <w:rsid w:val="00A322BF"/>
    <w:rsid w:val="00A3373F"/>
    <w:rsid w:val="00A33F51"/>
    <w:rsid w:val="00A349DF"/>
    <w:rsid w:val="00A40311"/>
    <w:rsid w:val="00A41032"/>
    <w:rsid w:val="00A4106C"/>
    <w:rsid w:val="00A428E7"/>
    <w:rsid w:val="00A43E49"/>
    <w:rsid w:val="00A44018"/>
    <w:rsid w:val="00A45B5E"/>
    <w:rsid w:val="00A45DE9"/>
    <w:rsid w:val="00A47471"/>
    <w:rsid w:val="00A47E22"/>
    <w:rsid w:val="00A47ED0"/>
    <w:rsid w:val="00A509EA"/>
    <w:rsid w:val="00A51476"/>
    <w:rsid w:val="00A526D2"/>
    <w:rsid w:val="00A542A9"/>
    <w:rsid w:val="00A54412"/>
    <w:rsid w:val="00A5498B"/>
    <w:rsid w:val="00A550C8"/>
    <w:rsid w:val="00A5564C"/>
    <w:rsid w:val="00A559EC"/>
    <w:rsid w:val="00A569F8"/>
    <w:rsid w:val="00A56E60"/>
    <w:rsid w:val="00A571B3"/>
    <w:rsid w:val="00A5744E"/>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B6FD0"/>
    <w:rsid w:val="00AC0575"/>
    <w:rsid w:val="00AC0758"/>
    <w:rsid w:val="00AC0934"/>
    <w:rsid w:val="00AC17EE"/>
    <w:rsid w:val="00AC2BFD"/>
    <w:rsid w:val="00AC4DDD"/>
    <w:rsid w:val="00AC5A43"/>
    <w:rsid w:val="00AC5D2C"/>
    <w:rsid w:val="00AC6B6D"/>
    <w:rsid w:val="00AC76C4"/>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27EA5"/>
    <w:rsid w:val="00B301B1"/>
    <w:rsid w:val="00B314DF"/>
    <w:rsid w:val="00B32A9A"/>
    <w:rsid w:val="00B353E7"/>
    <w:rsid w:val="00B35759"/>
    <w:rsid w:val="00B3619A"/>
    <w:rsid w:val="00B365B7"/>
    <w:rsid w:val="00B37289"/>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1977"/>
    <w:rsid w:val="00B92497"/>
    <w:rsid w:val="00B92D41"/>
    <w:rsid w:val="00B93679"/>
    <w:rsid w:val="00B9422D"/>
    <w:rsid w:val="00B95A1D"/>
    <w:rsid w:val="00B9634B"/>
    <w:rsid w:val="00BA5072"/>
    <w:rsid w:val="00BA5B65"/>
    <w:rsid w:val="00BA7BFE"/>
    <w:rsid w:val="00BB0ECA"/>
    <w:rsid w:val="00BB120C"/>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06ECA"/>
    <w:rsid w:val="00C11905"/>
    <w:rsid w:val="00C14462"/>
    <w:rsid w:val="00C16542"/>
    <w:rsid w:val="00C22382"/>
    <w:rsid w:val="00C2355B"/>
    <w:rsid w:val="00C272E9"/>
    <w:rsid w:val="00C274A6"/>
    <w:rsid w:val="00C34201"/>
    <w:rsid w:val="00C35A38"/>
    <w:rsid w:val="00C35EC9"/>
    <w:rsid w:val="00C36807"/>
    <w:rsid w:val="00C37392"/>
    <w:rsid w:val="00C41545"/>
    <w:rsid w:val="00C4209D"/>
    <w:rsid w:val="00C432B3"/>
    <w:rsid w:val="00C46A00"/>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015D"/>
    <w:rsid w:val="00CA356F"/>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0A9"/>
    <w:rsid w:val="00CE629E"/>
    <w:rsid w:val="00CE66CE"/>
    <w:rsid w:val="00CE77AA"/>
    <w:rsid w:val="00CE7B59"/>
    <w:rsid w:val="00CF352C"/>
    <w:rsid w:val="00CF4570"/>
    <w:rsid w:val="00CF58EE"/>
    <w:rsid w:val="00CF7BB2"/>
    <w:rsid w:val="00D00811"/>
    <w:rsid w:val="00D02A43"/>
    <w:rsid w:val="00D04518"/>
    <w:rsid w:val="00D05489"/>
    <w:rsid w:val="00D05CA1"/>
    <w:rsid w:val="00D061CB"/>
    <w:rsid w:val="00D0796C"/>
    <w:rsid w:val="00D07B7D"/>
    <w:rsid w:val="00D118CB"/>
    <w:rsid w:val="00D11A35"/>
    <w:rsid w:val="00D13130"/>
    <w:rsid w:val="00D146D4"/>
    <w:rsid w:val="00D14B3C"/>
    <w:rsid w:val="00D14BA5"/>
    <w:rsid w:val="00D15565"/>
    <w:rsid w:val="00D16580"/>
    <w:rsid w:val="00D20E20"/>
    <w:rsid w:val="00D21C3A"/>
    <w:rsid w:val="00D228DA"/>
    <w:rsid w:val="00D22E01"/>
    <w:rsid w:val="00D238A5"/>
    <w:rsid w:val="00D24621"/>
    <w:rsid w:val="00D2600F"/>
    <w:rsid w:val="00D300D5"/>
    <w:rsid w:val="00D30337"/>
    <w:rsid w:val="00D30EEA"/>
    <w:rsid w:val="00D31534"/>
    <w:rsid w:val="00D32C1F"/>
    <w:rsid w:val="00D33FC2"/>
    <w:rsid w:val="00D37394"/>
    <w:rsid w:val="00D37464"/>
    <w:rsid w:val="00D46699"/>
    <w:rsid w:val="00D47345"/>
    <w:rsid w:val="00D5073F"/>
    <w:rsid w:val="00D51573"/>
    <w:rsid w:val="00D5399A"/>
    <w:rsid w:val="00D53AAB"/>
    <w:rsid w:val="00D5444F"/>
    <w:rsid w:val="00D54E0D"/>
    <w:rsid w:val="00D54F7D"/>
    <w:rsid w:val="00D57528"/>
    <w:rsid w:val="00D602CA"/>
    <w:rsid w:val="00D60DD8"/>
    <w:rsid w:val="00D64C6C"/>
    <w:rsid w:val="00D66D42"/>
    <w:rsid w:val="00D71734"/>
    <w:rsid w:val="00D7244A"/>
    <w:rsid w:val="00D726C7"/>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1CA7"/>
    <w:rsid w:val="00D942DE"/>
    <w:rsid w:val="00D9491E"/>
    <w:rsid w:val="00D95563"/>
    <w:rsid w:val="00DA070D"/>
    <w:rsid w:val="00DA07CD"/>
    <w:rsid w:val="00DA3B2F"/>
    <w:rsid w:val="00DA4731"/>
    <w:rsid w:val="00DA5040"/>
    <w:rsid w:val="00DA5DBA"/>
    <w:rsid w:val="00DA7D5F"/>
    <w:rsid w:val="00DB053E"/>
    <w:rsid w:val="00DB11B2"/>
    <w:rsid w:val="00DB161E"/>
    <w:rsid w:val="00DB31B5"/>
    <w:rsid w:val="00DB5BBA"/>
    <w:rsid w:val="00DC03DB"/>
    <w:rsid w:val="00DC1206"/>
    <w:rsid w:val="00DC2BE8"/>
    <w:rsid w:val="00DC2BEC"/>
    <w:rsid w:val="00DC3256"/>
    <w:rsid w:val="00DC35A6"/>
    <w:rsid w:val="00DC7817"/>
    <w:rsid w:val="00DD090A"/>
    <w:rsid w:val="00DD2421"/>
    <w:rsid w:val="00DD3222"/>
    <w:rsid w:val="00DD3D81"/>
    <w:rsid w:val="00DD571C"/>
    <w:rsid w:val="00DD64E1"/>
    <w:rsid w:val="00DE039A"/>
    <w:rsid w:val="00DE0403"/>
    <w:rsid w:val="00DE47AB"/>
    <w:rsid w:val="00DE4811"/>
    <w:rsid w:val="00DE5458"/>
    <w:rsid w:val="00DE55C4"/>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1A31"/>
    <w:rsid w:val="00E223C6"/>
    <w:rsid w:val="00E23E3A"/>
    <w:rsid w:val="00E2443D"/>
    <w:rsid w:val="00E24789"/>
    <w:rsid w:val="00E26615"/>
    <w:rsid w:val="00E26F37"/>
    <w:rsid w:val="00E33928"/>
    <w:rsid w:val="00E33C90"/>
    <w:rsid w:val="00E34D15"/>
    <w:rsid w:val="00E35E86"/>
    <w:rsid w:val="00E36B45"/>
    <w:rsid w:val="00E37BF1"/>
    <w:rsid w:val="00E428B3"/>
    <w:rsid w:val="00E44D19"/>
    <w:rsid w:val="00E50188"/>
    <w:rsid w:val="00E51372"/>
    <w:rsid w:val="00E51CAF"/>
    <w:rsid w:val="00E51E95"/>
    <w:rsid w:val="00E51F9D"/>
    <w:rsid w:val="00E5202F"/>
    <w:rsid w:val="00E5211A"/>
    <w:rsid w:val="00E53A9F"/>
    <w:rsid w:val="00E549AF"/>
    <w:rsid w:val="00E60540"/>
    <w:rsid w:val="00E61C74"/>
    <w:rsid w:val="00E6329F"/>
    <w:rsid w:val="00E638C4"/>
    <w:rsid w:val="00E63D8F"/>
    <w:rsid w:val="00E706B6"/>
    <w:rsid w:val="00E76FF1"/>
    <w:rsid w:val="00E774FE"/>
    <w:rsid w:val="00E809A0"/>
    <w:rsid w:val="00E80AF7"/>
    <w:rsid w:val="00E83172"/>
    <w:rsid w:val="00E84407"/>
    <w:rsid w:val="00E85E54"/>
    <w:rsid w:val="00E86146"/>
    <w:rsid w:val="00E86A76"/>
    <w:rsid w:val="00E87A90"/>
    <w:rsid w:val="00E904D1"/>
    <w:rsid w:val="00E92425"/>
    <w:rsid w:val="00E92AD3"/>
    <w:rsid w:val="00E93A86"/>
    <w:rsid w:val="00E959EA"/>
    <w:rsid w:val="00E96237"/>
    <w:rsid w:val="00E965D7"/>
    <w:rsid w:val="00E96D30"/>
    <w:rsid w:val="00EA0CB0"/>
    <w:rsid w:val="00EA1327"/>
    <w:rsid w:val="00EA623C"/>
    <w:rsid w:val="00EA6395"/>
    <w:rsid w:val="00EB044B"/>
    <w:rsid w:val="00EB067C"/>
    <w:rsid w:val="00EB3C66"/>
    <w:rsid w:val="00EB42FB"/>
    <w:rsid w:val="00EB4B03"/>
    <w:rsid w:val="00EB5DEE"/>
    <w:rsid w:val="00EB64CB"/>
    <w:rsid w:val="00EB6D46"/>
    <w:rsid w:val="00EC07F3"/>
    <w:rsid w:val="00EC09A3"/>
    <w:rsid w:val="00EC3194"/>
    <w:rsid w:val="00EC518D"/>
    <w:rsid w:val="00EC71D3"/>
    <w:rsid w:val="00ED02FE"/>
    <w:rsid w:val="00ED1EC9"/>
    <w:rsid w:val="00ED3737"/>
    <w:rsid w:val="00ED3856"/>
    <w:rsid w:val="00ED3E2E"/>
    <w:rsid w:val="00ED4CC8"/>
    <w:rsid w:val="00ED6A08"/>
    <w:rsid w:val="00ED75E1"/>
    <w:rsid w:val="00EE05EE"/>
    <w:rsid w:val="00EE0AE2"/>
    <w:rsid w:val="00EE35B4"/>
    <w:rsid w:val="00EE40CA"/>
    <w:rsid w:val="00EE5643"/>
    <w:rsid w:val="00EE669F"/>
    <w:rsid w:val="00EE7CEC"/>
    <w:rsid w:val="00EF056E"/>
    <w:rsid w:val="00EF08A8"/>
    <w:rsid w:val="00EF09B3"/>
    <w:rsid w:val="00EF0A3E"/>
    <w:rsid w:val="00EF0EF5"/>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2CD"/>
    <w:rsid w:val="00F10C82"/>
    <w:rsid w:val="00F1319C"/>
    <w:rsid w:val="00F13B2E"/>
    <w:rsid w:val="00F176A0"/>
    <w:rsid w:val="00F20174"/>
    <w:rsid w:val="00F22098"/>
    <w:rsid w:val="00F223BC"/>
    <w:rsid w:val="00F23780"/>
    <w:rsid w:val="00F26185"/>
    <w:rsid w:val="00F3178C"/>
    <w:rsid w:val="00F33DE5"/>
    <w:rsid w:val="00F34B8F"/>
    <w:rsid w:val="00F34C51"/>
    <w:rsid w:val="00F353DC"/>
    <w:rsid w:val="00F36D7F"/>
    <w:rsid w:val="00F37186"/>
    <w:rsid w:val="00F42FCF"/>
    <w:rsid w:val="00F44A83"/>
    <w:rsid w:val="00F4534E"/>
    <w:rsid w:val="00F51743"/>
    <w:rsid w:val="00F529D4"/>
    <w:rsid w:val="00F54F27"/>
    <w:rsid w:val="00F55FC8"/>
    <w:rsid w:val="00F604E3"/>
    <w:rsid w:val="00F610E6"/>
    <w:rsid w:val="00F61FCC"/>
    <w:rsid w:val="00F66036"/>
    <w:rsid w:val="00F6689D"/>
    <w:rsid w:val="00F67E23"/>
    <w:rsid w:val="00F71601"/>
    <w:rsid w:val="00F71DB4"/>
    <w:rsid w:val="00F72C75"/>
    <w:rsid w:val="00F74033"/>
    <w:rsid w:val="00F7404A"/>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20FD"/>
    <w:rsid w:val="00FB3F33"/>
    <w:rsid w:val="00FB43E4"/>
    <w:rsid w:val="00FB4889"/>
    <w:rsid w:val="00FB676C"/>
    <w:rsid w:val="00FB67CC"/>
    <w:rsid w:val="00FB728E"/>
    <w:rsid w:val="00FC0ADE"/>
    <w:rsid w:val="00FC0B2B"/>
    <w:rsid w:val="00FC0FF1"/>
    <w:rsid w:val="00FC1FDF"/>
    <w:rsid w:val="00FC3360"/>
    <w:rsid w:val="00FC3E27"/>
    <w:rsid w:val="00FC3EC5"/>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6BF"/>
    <w:rsid w:val="00FF48DA"/>
    <w:rsid w:val="00FF5E19"/>
    <w:rsid w:val="00FF61AD"/>
    <w:rsid w:val="00FF76BD"/>
    <w:rsid w:val="165E3157"/>
    <w:rsid w:val="1BAA4748"/>
    <w:rsid w:val="380C32AD"/>
    <w:rsid w:val="53081DFE"/>
    <w:rsid w:val="555B2034"/>
    <w:rsid w:val="577605C7"/>
    <w:rsid w:val="5F8027C4"/>
    <w:rsid w:val="5F9354BF"/>
    <w:rsid w:val="615576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val="en-GB"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semiHidden/>
    <w:uiPriority w:val="0"/>
  </w:style>
  <w:style w:type="paragraph" w:styleId="7">
    <w:name w:val="Body Text 3"/>
    <w:basedOn w:val="1"/>
    <w:uiPriority w:val="0"/>
    <w:pPr>
      <w:spacing w:after="120"/>
    </w:pPr>
    <w:rPr>
      <w:sz w:val="16"/>
      <w:szCs w:val="16"/>
    </w:rPr>
  </w:style>
  <w:style w:type="paragraph" w:styleId="8">
    <w:name w:val="Body Text"/>
    <w:basedOn w:val="1"/>
    <w:uiPriority w:val="0"/>
    <w:pPr>
      <w:ind w:right="56"/>
    </w:pPr>
    <w:rPr>
      <w:b/>
      <w:sz w:val="22"/>
    </w:rPr>
  </w:style>
  <w:style w:type="paragraph" w:styleId="9">
    <w:name w:val="Body Text Indent"/>
    <w:basedOn w:val="1"/>
    <w:uiPriority w:val="0"/>
    <w:pPr>
      <w:spacing w:after="120"/>
      <w:ind w:left="420" w:leftChars="200"/>
    </w:pPr>
  </w:style>
  <w:style w:type="paragraph" w:styleId="10">
    <w:name w:val="toc 3"/>
    <w:basedOn w:val="1"/>
    <w:next w:val="1"/>
    <w:uiPriority w:val="39"/>
    <w:pPr>
      <w:tabs>
        <w:tab w:val="right" w:leader="dot" w:pos="8302"/>
        <w:tab w:val="right" w:leader="dot" w:pos="8835"/>
      </w:tabs>
      <w:spacing w:line="360" w:lineRule="auto"/>
      <w:ind w:left="300" w:leftChars="300"/>
    </w:pPr>
    <w:rPr>
      <w:sz w:val="20"/>
    </w:rPr>
  </w:style>
  <w:style w:type="paragraph" w:styleId="11">
    <w:name w:val="Body Text Indent 2"/>
    <w:basedOn w:val="1"/>
    <w:uiPriority w:val="0"/>
    <w:pPr>
      <w:spacing w:after="120" w:line="480" w:lineRule="auto"/>
      <w:ind w:left="420" w:leftChars="200"/>
    </w:pPr>
  </w:style>
  <w:style w:type="paragraph" w:styleId="12">
    <w:name w:val="Balloon Text"/>
    <w:basedOn w:val="1"/>
    <w:semiHidden/>
    <w:uiPriority w:val="0"/>
    <w:rPr>
      <w:sz w:val="18"/>
      <w:szCs w:val="18"/>
    </w:rPr>
  </w:style>
  <w:style w:type="paragraph" w:styleId="13">
    <w:name w:val="footer"/>
    <w:basedOn w:val="1"/>
    <w:link w:val="34"/>
    <w:uiPriority w:val="99"/>
    <w:pPr>
      <w:tabs>
        <w:tab w:val="center" w:pos="4320"/>
        <w:tab w:val="right" w:pos="8640"/>
      </w:tabs>
    </w:pPr>
  </w:style>
  <w:style w:type="paragraph" w:styleId="14">
    <w:name w:val="header"/>
    <w:basedOn w:val="1"/>
    <w:link w:val="26"/>
    <w:uiPriority w:val="0"/>
    <w:pPr>
      <w:tabs>
        <w:tab w:val="center" w:pos="4320"/>
        <w:tab w:val="right" w:pos="8640"/>
      </w:tabs>
    </w:pPr>
  </w:style>
  <w:style w:type="paragraph" w:styleId="15">
    <w:name w:val="toc 1"/>
    <w:basedOn w:val="1"/>
    <w:next w:val="1"/>
    <w:uiPriority w:val="3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6">
    <w:name w:val="toc 2"/>
    <w:basedOn w:val="1"/>
    <w:next w:val="1"/>
    <w:qFormat/>
    <w:uiPriority w:val="39"/>
    <w:pPr>
      <w:widowControl w:val="0"/>
      <w:tabs>
        <w:tab w:val="right" w:leader="dot" w:pos="8302"/>
      </w:tabs>
      <w:overflowPunct/>
      <w:autoSpaceDE/>
      <w:autoSpaceDN/>
      <w:adjustRightInd/>
      <w:spacing w:line="360" w:lineRule="auto"/>
      <w:ind w:left="200" w:leftChars="200"/>
      <w:textAlignment w:val="auto"/>
    </w:pPr>
    <w:rPr>
      <w:rFonts w:eastAsia="Times New Roman"/>
      <w:kern w:val="2"/>
      <w:lang w:val="en-US" w:eastAsia="zh-CN"/>
    </w:rPr>
  </w:style>
  <w:style w:type="paragraph" w:styleId="17">
    <w:name w:val="Title"/>
    <w:basedOn w:val="1"/>
    <w:next w:val="1"/>
    <w:link w:val="44"/>
    <w:qFormat/>
    <w:uiPriority w:val="0"/>
    <w:pPr>
      <w:spacing w:before="240" w:after="60"/>
      <w:jc w:val="center"/>
      <w:outlineLvl w:val="0"/>
    </w:pPr>
    <w:rPr>
      <w:rFonts w:ascii="Calibri Light" w:hAnsi="Calibri Light"/>
      <w:b/>
      <w:bCs/>
      <w:sz w:val="32"/>
      <w:szCs w:val="32"/>
    </w:rPr>
  </w:style>
  <w:style w:type="paragraph" w:styleId="18">
    <w:name w:val="annotation subject"/>
    <w:basedOn w:val="6"/>
    <w:next w:val="6"/>
    <w:semiHidden/>
    <w:uiPriority w:val="0"/>
    <w:rPr>
      <w:b/>
      <w:bCs/>
    </w:rPr>
  </w:style>
  <w:style w:type="table" w:styleId="20">
    <w:name w:val="Table Grid"/>
    <w:basedOn w:val="19"/>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uiPriority w:val="0"/>
  </w:style>
  <w:style w:type="character" w:styleId="23">
    <w:name w:val="Hyperlink"/>
    <w:qFormat/>
    <w:uiPriority w:val="99"/>
    <w:rPr>
      <w:color w:val="0000FF"/>
      <w:u w:val="single"/>
    </w:rPr>
  </w:style>
  <w:style w:type="character" w:styleId="24">
    <w:name w:val="annotation reference"/>
    <w:semiHidden/>
    <w:uiPriority w:val="0"/>
    <w:rPr>
      <w:sz w:val="21"/>
      <w:szCs w:val="21"/>
    </w:rPr>
  </w:style>
  <w:style w:type="paragraph" w:customStyle="1" w:styleId="25">
    <w:name w:val="Table"/>
    <w:basedOn w:val="1"/>
    <w:uiPriority w:val="0"/>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26">
    <w:name w:val="页眉 Char"/>
    <w:link w:val="14"/>
    <w:uiPriority w:val="0"/>
    <w:rPr>
      <w:rFonts w:eastAsia="宋体"/>
      <w:sz w:val="24"/>
      <w:lang w:val="en-GB" w:eastAsia="en-US" w:bidi="ar-SA"/>
    </w:rPr>
  </w:style>
  <w:style w:type="paragraph" w:customStyle="1" w:styleId="27">
    <w:name w:val="Default Text"/>
    <w:basedOn w:val="1"/>
    <w:uiPriority w:val="0"/>
    <w:pPr>
      <w:overflowPunct/>
      <w:textAlignment w:val="auto"/>
    </w:pPr>
    <w:rPr>
      <w:rFonts w:ascii="Arial" w:hAnsi="Arial"/>
      <w:szCs w:val="24"/>
      <w:lang w:val="en-US"/>
    </w:rPr>
  </w:style>
  <w:style w:type="paragraph" w:customStyle="1" w:styleId="28">
    <w:name w:val="Style"/>
    <w:basedOn w:val="1"/>
    <w:uiPriority w:val="0"/>
    <w:pPr>
      <w:overflowPunct/>
      <w:textAlignment w:val="auto"/>
    </w:pPr>
    <w:rPr>
      <w:rFonts w:ascii="Arial" w:hAnsi="Arial"/>
      <w:szCs w:val="24"/>
      <w:lang w:val="en-US"/>
    </w:rPr>
  </w:style>
  <w:style w:type="paragraph" w:customStyle="1" w:styleId="29">
    <w:name w:val="正文1"/>
    <w:basedOn w:val="1"/>
    <w:uiPriority w:val="0"/>
    <w:pPr>
      <w:overflowPunct/>
      <w:textAlignment w:val="auto"/>
    </w:pPr>
    <w:rPr>
      <w:rFonts w:ascii="Arial" w:hAnsi="Arial"/>
      <w:sz w:val="20"/>
      <w:lang w:val="en-US"/>
    </w:rPr>
  </w:style>
  <w:style w:type="paragraph" w:customStyle="1" w:styleId="30">
    <w:name w:val="修订1"/>
    <w:hidden/>
    <w:semiHidden/>
    <w:uiPriority w:val="99"/>
    <w:rPr>
      <w:rFonts w:ascii="Times New Roman" w:hAnsi="Times New Roman" w:eastAsia="宋体" w:cs="Times New Roman"/>
      <w:sz w:val="24"/>
      <w:lang w:val="en-GB" w:eastAsia="en-US" w:bidi="ar-SA"/>
    </w:rPr>
  </w:style>
  <w:style w:type="paragraph" w:styleId="31">
    <w:name w:val="List Paragraph"/>
    <w:basedOn w:val="1"/>
    <w:qFormat/>
    <w:uiPriority w:val="34"/>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character" w:customStyle="1" w:styleId="32">
    <w:name w:val="批注文字 Char"/>
    <w:link w:val="6"/>
    <w:semiHidden/>
    <w:uiPriority w:val="0"/>
    <w:rPr>
      <w:sz w:val="24"/>
      <w:lang w:val="en-GB" w:eastAsia="en-US"/>
    </w:rPr>
  </w:style>
  <w:style w:type="paragraph" w:customStyle="1" w:styleId="33">
    <w:name w:val="TOC 标题1"/>
    <w:basedOn w:val="2"/>
    <w:next w:val="1"/>
    <w:qFormat/>
    <w:uiPriority w:val="39"/>
    <w:pPr>
      <w:numPr>
        <w:numId w:val="0"/>
      </w:numPr>
      <w:outlineLvl w:val="9"/>
    </w:pPr>
  </w:style>
  <w:style w:type="character" w:customStyle="1" w:styleId="34">
    <w:name w:val="页脚 Char"/>
    <w:link w:val="13"/>
    <w:uiPriority w:val="99"/>
    <w:rPr>
      <w:sz w:val="24"/>
      <w:lang w:val="en-GB" w:eastAsia="en-US"/>
    </w:rPr>
  </w:style>
  <w:style w:type="character" w:customStyle="1" w:styleId="35">
    <w:name w:val="instruction standard blue"/>
    <w:qFormat/>
    <w:uiPriority w:val="1"/>
    <w:rPr>
      <w:rFonts w:cs="Arial"/>
      <w:i/>
      <w:color w:val="0070C0"/>
    </w:rPr>
  </w:style>
  <w:style w:type="character" w:customStyle="1" w:styleId="36">
    <w:name w:val="keyword"/>
    <w:basedOn w:val="21"/>
    <w:uiPriority w:val="0"/>
  </w:style>
  <w:style w:type="paragraph" w:customStyle="1" w:styleId="37">
    <w:name w:val="numbering blue"/>
    <w:basedOn w:val="1"/>
    <w:link w:val="38"/>
    <w:qFormat/>
    <w:uiPriority w:val="0"/>
    <w:pPr>
      <w:numPr>
        <w:ilvl w:val="0"/>
        <w:numId w:val="2"/>
      </w:numPr>
      <w:overflowPunct/>
      <w:autoSpaceDE/>
      <w:autoSpaceDN/>
      <w:adjustRightInd/>
      <w:spacing w:after="120"/>
      <w:ind w:left="357" w:hanging="357"/>
      <w:contextualSpacing/>
      <w:textAlignment w:val="auto"/>
    </w:pPr>
    <w:rPr>
      <w:rFonts w:ascii="Arial" w:hAnsi="Arial" w:eastAsia="PMingLiU"/>
      <w:color w:val="0070C0"/>
      <w:sz w:val="20"/>
      <w:lang w:eastAsia="zh-TW"/>
    </w:rPr>
  </w:style>
  <w:style w:type="character" w:customStyle="1" w:styleId="38">
    <w:name w:val="numbering blue Zchn"/>
    <w:link w:val="37"/>
    <w:uiPriority w:val="0"/>
    <w:rPr>
      <w:rFonts w:ascii="Arial" w:hAnsi="Arial" w:eastAsia="PMingLiU"/>
      <w:color w:val="0070C0"/>
      <w:lang w:eastAsia="zh-TW"/>
    </w:rPr>
  </w:style>
  <w:style w:type="paragraph" w:customStyle="1" w:styleId="39">
    <w:name w:val="Default"/>
    <w:uiPriority w:val="0"/>
    <w:pPr>
      <w:widowControl w:val="0"/>
      <w:autoSpaceDE w:val="0"/>
      <w:autoSpaceDN w:val="0"/>
    </w:pPr>
    <w:rPr>
      <w:rFonts w:hint="eastAsia" w:ascii="Arial" w:hAnsi="Arial" w:eastAsia="宋体" w:cs="Times New Roman"/>
      <w:color w:val="000000"/>
      <w:sz w:val="24"/>
      <w:lang w:val="en-US" w:eastAsia="zh-CN" w:bidi="ar-SA"/>
    </w:rPr>
  </w:style>
  <w:style w:type="character" w:customStyle="1" w:styleId="40">
    <w:name w:val="Text Char"/>
    <w:link w:val="41"/>
    <w:locked/>
    <w:uiPriority w:val="0"/>
    <w:rPr>
      <w:sz w:val="24"/>
      <w:lang w:eastAsia="en-US"/>
    </w:rPr>
  </w:style>
  <w:style w:type="paragraph" w:customStyle="1" w:styleId="41">
    <w:name w:val="Text"/>
    <w:basedOn w:val="1"/>
    <w:link w:val="40"/>
    <w:uiPriority w:val="0"/>
    <w:pPr>
      <w:overflowPunct/>
      <w:autoSpaceDE/>
      <w:autoSpaceDN/>
      <w:adjustRightInd/>
      <w:spacing w:before="120"/>
      <w:jc w:val="both"/>
      <w:textAlignment w:val="auto"/>
    </w:pPr>
    <w:rPr>
      <w:lang w:val="en-US"/>
    </w:rPr>
  </w:style>
  <w:style w:type="character" w:customStyle="1" w:styleId="42">
    <w:name w:val="ordinary-span-edit2"/>
    <w:uiPriority w:val="0"/>
  </w:style>
  <w:style w:type="character" w:customStyle="1" w:styleId="43">
    <w:name w:val="apple-converted-space"/>
    <w:basedOn w:val="21"/>
    <w:uiPriority w:val="0"/>
  </w:style>
  <w:style w:type="character" w:customStyle="1" w:styleId="44">
    <w:name w:val="标题 Char"/>
    <w:link w:val="17"/>
    <w:uiPriority w:val="0"/>
    <w:rPr>
      <w:rFonts w:ascii="Calibri Light" w:hAnsi="Calibri Light" w:cs="Times New Roman"/>
      <w:b/>
      <w:bCs/>
      <w:sz w:val="32"/>
      <w:szCs w:val="32"/>
      <w:lang w:val="en-GB" w:eastAsia="en-US"/>
    </w:rPr>
  </w:style>
  <w:style w:type="paragraph" w:customStyle="1" w:styleId="45">
    <w:name w:val="Table text"/>
    <w:basedOn w:val="1"/>
    <w:qFormat/>
    <w:uiPriority w:val="0"/>
    <w:pPr>
      <w:overflowPunct/>
      <w:autoSpaceDE/>
      <w:autoSpaceDN/>
      <w:adjustRightInd/>
      <w:spacing w:before="120" w:after="120"/>
      <w:jc w:val="both"/>
      <w:textAlignment w:val="auto"/>
    </w:pPr>
    <w:rPr>
      <w:lang w:val="en-US"/>
    </w:rPr>
  </w:style>
  <w:style w:type="character" w:customStyle="1" w:styleId="46">
    <w:name w:val="Footer Char"/>
    <w:basedOn w:val="21"/>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879</Words>
  <Characters>5016</Characters>
  <Lines>41</Lines>
  <Paragraphs>11</Paragraphs>
  <TotalTime>147</TotalTime>
  <ScaleCrop>false</ScaleCrop>
  <LinksUpToDate>false</LinksUpToDate>
  <CharactersWithSpaces>5884</CharactersWithSpaces>
  <Application>WPS Office_11.8.2.10229_F1E327BC-269C-435d-A152-05C5408002CA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2020-06-04T06:19:00Z</dcterms:created>
  <dc:creator>Lilly</dc:creator>
  <cp:lastModifiedBy>Admin</cp:lastModifiedBy>
  <cp:lastPrinted>2022-01-11T07:17:00Z</cp:lastPrinted>
  <dcterms:modified xsi:type="dcterms:W3CDTF">2022-01-28T01:14:08Z</dcterms:modified>
  <dc:title>生效期：</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CF42BF0CEDF9449A9C38CFD77505585F</vt:lpwstr>
  </property>
</Properties>
</file>