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8" w:afterLines="50"/>
        <w:jc w:val="center"/>
        <w:rPr>
          <w:b/>
          <w:szCs w:val="21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储运部电子汽车衡</w:t>
      </w:r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</w:p>
    <w:p>
      <w:pPr>
        <w:pStyle w:val="31"/>
        <w:widowControl w:val="0"/>
        <w:spacing w:after="158" w:afterLines="50" w:line="240" w:lineRule="auto"/>
        <w:rPr>
          <w:sz w:val="21"/>
          <w:szCs w:val="21"/>
          <w:lang w:eastAsia="zh-CN"/>
        </w:rPr>
      </w:pPr>
    </w:p>
    <w:p>
      <w:pPr>
        <w:pStyle w:val="31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>目录</w:t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b/>
          <w:bCs/>
          <w:caps/>
          <w:kern w:val="2"/>
          <w:szCs w:val="21"/>
          <w:lang w:eastAsia="zh-CN"/>
        </w:rPr>
      </w:pPr>
      <w:r>
        <w:rPr>
          <w:b/>
          <w:bCs/>
          <w:caps/>
          <w:kern w:val="2"/>
          <w:szCs w:val="21"/>
          <w:lang w:eastAsia="zh-CN"/>
        </w:rPr>
        <w:br w:type="page"/>
      </w: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0" w:name="_Toc522716115"/>
      <w:bookmarkStart w:id="1" w:name="_Toc522107735"/>
      <w:r>
        <w:rPr>
          <w:rFonts w:ascii="Times New Roman" w:hAnsi="Times New Roman"/>
          <w:b/>
        </w:rPr>
        <w:t>目的</w:t>
      </w:r>
      <w:bookmarkEnd w:id="0"/>
      <w:bookmarkEnd w:id="1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bookmarkStart w:id="2" w:name="_Toc481702475"/>
      <w:bookmarkStart w:id="3" w:name="_Toc482370141"/>
      <w:bookmarkStart w:id="4" w:name="_Toc482370061"/>
      <w:bookmarkStart w:id="5" w:name="_Toc482360281"/>
      <w:bookmarkStart w:id="6" w:name="_Toc482369805"/>
      <w:bookmarkStart w:id="7" w:name="_Toc482625279"/>
      <w:bookmarkStart w:id="8" w:name="_Toc482370349"/>
      <w:bookmarkStart w:id="9" w:name="_Toc482370757"/>
      <w:bookmarkStart w:id="10" w:name="_Toc482359936"/>
      <w:r>
        <w:rPr>
          <w:szCs w:val="21"/>
          <w:lang w:eastAsia="zh-CN"/>
        </w:rPr>
        <w:t>本文件的目的是描述武汉生物制品研究所有限责任公</w:t>
      </w:r>
      <w:permStart w:id="0" w:edGrp="everyone"/>
      <w:r>
        <w:rPr>
          <w:rFonts w:hint="eastAsia"/>
          <w:szCs w:val="21"/>
          <w:lang w:eastAsia="zh-CN"/>
        </w:rPr>
        <w:t>储运部电子汽车衡</w:t>
      </w:r>
      <w:permEnd w:id="0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4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1" w:name="_Toc522716116"/>
      <w:bookmarkStart w:id="12" w:name="_Toc522107736"/>
      <w:r>
        <w:rPr>
          <w:rFonts w:ascii="Times New Roman" w:hAnsi="Times New Roman"/>
          <w:b/>
        </w:rPr>
        <w:t>范围</w:t>
      </w:r>
      <w:bookmarkEnd w:id="11"/>
      <w:bookmarkEnd w:id="12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1" w:edGrp="everyone"/>
      <w:r>
        <w:rPr>
          <w:rFonts w:hint="eastAsia"/>
          <w:szCs w:val="21"/>
          <w:lang w:eastAsia="zh-CN"/>
        </w:rPr>
        <w:t>储运部电子汽车衡</w:t>
      </w:r>
      <w:permEnd w:id="1"/>
      <w:r>
        <w:rPr>
          <w:szCs w:val="21"/>
          <w:lang w:eastAsia="zh-CN"/>
        </w:rPr>
        <w:t>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3" w:name="_Toc522716117"/>
      <w:bookmarkStart w:id="14" w:name="_Toc522107737"/>
      <w:r>
        <w:rPr>
          <w:rFonts w:ascii="Times New Roman" w:hAnsi="Times New Roman"/>
          <w:b/>
        </w:rPr>
        <w:t>参考文件</w:t>
      </w:r>
      <w:bookmarkEnd w:id="13"/>
      <w:bookmarkEnd w:id="14"/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permStart w:id="2" w:edGrp="everyone"/>
      <w:r>
        <w:rPr>
          <w:color w:val="000000"/>
          <w:szCs w:val="21"/>
          <w:lang w:eastAsia="zh-CN"/>
        </w:rPr>
        <w:t xml:space="preserve">中国药典 </w:t>
      </w: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  <w:lang w:eastAsia="zh-CN"/>
        </w:rPr>
        <w:t>20</w:t>
      </w:r>
      <w:r>
        <w:rPr>
          <w:color w:val="000000"/>
          <w:szCs w:val="21"/>
        </w:rPr>
        <w:t>年版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 w:val="18"/>
          <w:szCs w:val="21"/>
          <w:lang w:eastAsia="zh-CN"/>
        </w:rPr>
      </w:pPr>
      <w:r>
        <w:rPr>
          <w:rFonts w:hAnsi="宋体" w:cs="Arial"/>
          <w:color w:val="000000"/>
        </w:rPr>
        <w:t>GB/T7723-2008《固定式电子衡器》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 w:val="18"/>
          <w:szCs w:val="21"/>
          <w:lang w:eastAsia="zh-CN"/>
        </w:rPr>
      </w:pPr>
      <w:r>
        <w:rPr>
          <w:rFonts w:hAnsi="宋体" w:cs="Arial"/>
          <w:color w:val="000000"/>
          <w:lang w:eastAsia="zh-CN"/>
        </w:rPr>
        <w:t>CMC《中华人民共和国制造计量器具许可证》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 w:val="18"/>
          <w:szCs w:val="21"/>
          <w:lang w:eastAsia="zh-CN"/>
        </w:rPr>
      </w:pPr>
      <w:r>
        <w:rPr>
          <w:rFonts w:hAnsi="宋体" w:cs="Arial"/>
          <w:color w:val="000000"/>
          <w:lang w:eastAsia="zh-CN"/>
        </w:rPr>
        <w:t>国际法制计量OIML R76标准规范要求</w:t>
      </w:r>
    </w:p>
    <w:permEnd w:id="2"/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permStart w:id="3" w:edGrp="everyone"/>
      <w:r>
        <w:rPr>
          <w:color w:val="000000"/>
          <w:szCs w:val="21"/>
          <w:lang w:eastAsia="zh-CN"/>
        </w:rPr>
        <w:t>电气安全应符合GB4793.1和GB4793.4的要求。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 w:val="18"/>
          <w:szCs w:val="21"/>
          <w:lang w:eastAsia="zh-CN"/>
        </w:rPr>
      </w:pPr>
      <w:r>
        <w:rPr>
          <w:rFonts w:hAnsi="宋体" w:cs="Arial"/>
          <w:color w:val="000000"/>
          <w:lang w:eastAsia="zh-CN"/>
        </w:rPr>
        <w:t>达到CE标准要求和国内EHS要求</w:t>
      </w:r>
      <w:r>
        <w:rPr>
          <w:rFonts w:hint="eastAsia" w:hAnsi="宋体" w:cs="Arial"/>
          <w:color w:val="000000"/>
          <w:lang w:eastAsia="zh-CN"/>
        </w:rPr>
        <w:t>。</w:t>
      </w:r>
    </w:p>
    <w:permEnd w:id="3"/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5" w:name="_Toc522716119"/>
      <w:bookmarkStart w:id="16" w:name="_Toc522107739"/>
      <w:permStart w:id="4" w:edGrp="everyone"/>
      <w:permEnd w:id="4"/>
      <w:r>
        <w:rPr>
          <w:rFonts w:ascii="Times New Roman" w:hAnsi="Times New Roman"/>
          <w:b/>
        </w:rPr>
        <w:t>系统描述</w:t>
      </w:r>
      <w:bookmarkEnd w:id="15"/>
      <w:bookmarkEnd w:id="16"/>
    </w:p>
    <w:p>
      <w:pPr>
        <w:pStyle w:val="34"/>
        <w:spacing w:before="0" w:line="360" w:lineRule="auto"/>
        <w:ind w:left="357"/>
        <w:jc w:val="left"/>
        <w:rPr>
          <w:color w:val="000000"/>
          <w:szCs w:val="21"/>
          <w:lang w:eastAsia="zh-CN"/>
        </w:rPr>
      </w:pPr>
      <w:permStart w:id="5" w:edGrp="everyone"/>
      <w:r>
        <w:rPr>
          <w:rFonts w:hint="eastAsia"/>
          <w:color w:val="000000"/>
          <w:szCs w:val="21"/>
          <w:lang w:eastAsia="zh-CN"/>
        </w:rPr>
        <w:t>储运部</w:t>
      </w:r>
      <w:r>
        <w:rPr>
          <w:color w:val="000000"/>
          <w:szCs w:val="21"/>
          <w:lang w:eastAsia="zh-CN"/>
        </w:rPr>
        <w:t>拟购置一台</w:t>
      </w:r>
      <w:r>
        <w:rPr>
          <w:rFonts w:hint="eastAsia"/>
          <w:color w:val="000000"/>
          <w:szCs w:val="21"/>
          <w:lang w:eastAsia="zh-CN"/>
        </w:rPr>
        <w:t>汽车电子衡，</w:t>
      </w:r>
      <w:r>
        <w:rPr>
          <w:color w:val="000000"/>
          <w:szCs w:val="21"/>
          <w:lang w:eastAsia="zh-CN"/>
        </w:rPr>
        <w:t>用于</w:t>
      </w:r>
      <w:r>
        <w:rPr>
          <w:rFonts w:hint="eastAsia"/>
          <w:color w:val="000000"/>
          <w:szCs w:val="21"/>
          <w:lang w:eastAsia="zh-CN"/>
        </w:rPr>
        <w:t>物流</w:t>
      </w:r>
      <w:r>
        <w:rPr>
          <w:color w:val="000000"/>
          <w:szCs w:val="21"/>
          <w:lang w:eastAsia="zh-CN"/>
        </w:rPr>
        <w:t>称量</w:t>
      </w:r>
      <w:r>
        <w:rPr>
          <w:rFonts w:hint="eastAsia"/>
          <w:color w:val="000000"/>
          <w:szCs w:val="21"/>
          <w:lang w:eastAsia="zh-CN"/>
        </w:rPr>
        <w:t>。</w:t>
      </w:r>
      <w:permEnd w:id="5"/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17" w:name="_Toc522716120"/>
      <w:r>
        <w:rPr>
          <w:rFonts w:ascii="Times New Roman" w:hAnsi="Times New Roman"/>
          <w:b/>
          <w:szCs w:val="21"/>
        </w:rPr>
        <w:t>安装要求</w:t>
      </w:r>
      <w:bookmarkEnd w:id="17"/>
    </w:p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  <w:permStart w:id="6" w:edGrp="everyone"/>
      <w:permEnd w:id="6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18" w:name="OLE_LINK2"/>
            <w:bookmarkStart w:id="19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储运部</w:t>
            </w:r>
          </w:p>
        </w:tc>
        <w:tc>
          <w:tcPr>
            <w:tcW w:w="2125" w:type="dxa"/>
            <w:vAlign w:val="center"/>
          </w:tcPr>
          <w:p>
            <w:pPr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5.2</w:t>
            </w:r>
            <w:permEnd w:id="7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3m×1</w:t>
            </w:r>
            <w:r>
              <w:rPr>
                <w:rFonts w:hint="eastAsia" w:ascii="宋体" w:hAnsi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5.3</w:t>
            </w:r>
            <w:permEnd w:id="9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设备</w:t>
            </w:r>
            <w:r>
              <w:rPr>
                <w:color w:val="000000"/>
                <w:szCs w:val="21"/>
                <w:lang w:eastAsia="zh-CN"/>
              </w:rPr>
              <w:t>重量不高于地面承重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5.4</w:t>
            </w:r>
            <w:permEnd w:id="10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permStart w:id="11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5.5</w:t>
            </w:r>
            <w:permEnd w:id="11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</w:t>
            </w:r>
            <w:r>
              <w:rPr>
                <w:szCs w:val="21"/>
                <w:lang w:eastAsia="zh-CN"/>
              </w:rPr>
              <w:t>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工作环境温度：能适应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－</w:t>
            </w:r>
            <w:r>
              <w:rPr>
                <w:rFonts w:hint="eastAsia"/>
                <w:color w:val="000000"/>
                <w:lang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～</w:t>
            </w:r>
            <w:r>
              <w:rPr>
                <w:rFonts w:hint="eastAsia"/>
                <w:color w:val="000000"/>
                <w:lang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环境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工作环境湿度：至少包括</w:t>
            </w:r>
            <w:r>
              <w:rPr>
                <w:rFonts w:hint="eastAsia"/>
                <w:color w:val="000000"/>
                <w:lang w:eastAsia="zh-CN"/>
              </w:rPr>
              <w:t>10</w:t>
            </w:r>
            <w:r>
              <w:rPr>
                <w:color w:val="000000"/>
                <w:lang w:eastAsia="zh-CN"/>
              </w:rPr>
              <w:t>%～</w:t>
            </w:r>
            <w:r>
              <w:rPr>
                <w:rFonts w:hint="eastAsia"/>
                <w:color w:val="000000"/>
                <w:lang w:eastAsia="zh-CN"/>
              </w:rPr>
              <w:t>90</w:t>
            </w:r>
            <w:r>
              <w:rPr>
                <w:color w:val="000000"/>
                <w:lang w:eastAsia="zh-CN"/>
              </w:rPr>
              <w:t>%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工作环</w:t>
            </w:r>
            <w:r>
              <w:rPr>
                <w:rFonts w:hint="eastAsia"/>
                <w:color w:val="000000"/>
                <w:lang w:eastAsia="zh-CN"/>
              </w:rPr>
              <w:t>:户外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5.6</w:t>
            </w:r>
            <w:permEnd w:id="14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交流电电源：</w:t>
            </w:r>
            <w:r>
              <w:rPr>
                <w:rFonts w:hint="eastAsia" w:cs="Arial"/>
                <w:szCs w:val="21"/>
                <w:lang w:eastAsia="zh-CN"/>
              </w:rPr>
              <w:t>110V-120V.50HZ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5.7</w:t>
            </w:r>
            <w:permEnd w:id="15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地磅磅体全钢材质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无卫生死角，便于清洁。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（5）对设备必要的说明；</w:t>
            </w:r>
          </w:p>
          <w:p>
            <w:pPr>
              <w:pStyle w:val="8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）安全标识。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bookmarkEnd w:id="18"/>
      <w:bookmarkEnd w:id="19"/>
      <w:permEnd w:id="16"/>
    </w:tbl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spacing w:after="158" w:afterLines="50"/>
        <w:ind w:left="0" w:leftChars="0" w:firstLine="0" w:firstLineChars="0"/>
        <w:rPr>
          <w:rFonts w:ascii="Times New Roman" w:hAnsi="Times New Roman"/>
          <w:szCs w:val="21"/>
        </w:rPr>
      </w:pPr>
      <w:bookmarkStart w:id="40" w:name="_GoBack"/>
      <w:bookmarkEnd w:id="40"/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716121"/>
      <w:bookmarkStart w:id="21" w:name="_Toc522107740"/>
      <w:r>
        <w:rPr>
          <w:rFonts w:ascii="Times New Roman" w:hAnsi="Times New Roman"/>
          <w:b/>
        </w:rPr>
        <w:t>运行要求</w:t>
      </w:r>
      <w:bookmarkEnd w:id="20"/>
      <w:bookmarkEnd w:id="21"/>
    </w:p>
    <w:p>
      <w:pPr>
        <w:pStyle w:val="34"/>
        <w:spacing w:before="0" w:line="360" w:lineRule="auto"/>
        <w:jc w:val="left"/>
        <w:rPr>
          <w:bCs/>
          <w:i/>
          <w:color w:val="4472C4"/>
          <w:kern w:val="44"/>
          <w:szCs w:val="21"/>
          <w:lang w:eastAsia="zh-CN"/>
        </w:rPr>
      </w:pPr>
      <w:permStart w:id="17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17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无基坑式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6.2</w:t>
            </w:r>
            <w:permEnd w:id="18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6.3</w:t>
            </w:r>
            <w:permEnd w:id="19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4"/>
                <w:lang w:eastAsia="zh-CN"/>
              </w:rPr>
              <w:t>设备整体包括</w:t>
            </w:r>
            <w:r>
              <w:rPr>
                <w:rFonts w:hint="eastAsia"/>
                <w:szCs w:val="24"/>
                <w:lang w:eastAsia="zh-CN"/>
              </w:rPr>
              <w:t>：一台全钢结构秤台、6支汽车衡、一只称重显示仪表。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磅台宽度：3M，长度12M，易于车辆上下。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称重范围 ： 0-50t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计量方式：静态整车计量方式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cs="Arial"/>
                <w:szCs w:val="21"/>
                <w:lang w:eastAsia="zh-CN"/>
              </w:rPr>
              <w:t>汽车衡精度等级：</w:t>
            </w:r>
            <w:r>
              <w:rPr>
                <w:rFonts w:hint="eastAsia" w:ascii="宋体" w:hAnsi="宋体"/>
                <w:szCs w:val="21"/>
                <w:lang w:eastAsia="zh-CN"/>
              </w:rPr>
              <w:t>静态</w:t>
            </w:r>
            <w:r>
              <w:rPr>
                <w:rFonts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Ⅲ 级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cs="Arial"/>
                <w:szCs w:val="21"/>
                <w:lang w:eastAsia="zh-CN"/>
              </w:rPr>
              <w:t>汽车衡允许通过的汽车轴载：30t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防护等级：秤体防护等级不低于</w:t>
            </w:r>
            <w:r>
              <w:rPr>
                <w:rFonts w:hAnsi="宋体" w:cs="Arial"/>
                <w:color w:val="000000"/>
                <w:lang w:eastAsia="zh-CN"/>
              </w:rPr>
              <w:t>IP68</w:t>
            </w:r>
            <w:r>
              <w:rPr>
                <w:rFonts w:hint="eastAsia" w:hAnsi="宋体" w:cs="Arial"/>
                <w:color w:val="000000"/>
                <w:lang w:eastAsia="zh-CN"/>
              </w:rPr>
              <w:t>，仪表防护等级不低于I</w:t>
            </w:r>
            <w:r>
              <w:rPr>
                <w:rFonts w:hAnsi="宋体" w:cs="Arial"/>
                <w:color w:val="000000"/>
                <w:lang w:eastAsia="zh-CN"/>
              </w:rPr>
              <w:t>P66</w:t>
            </w:r>
            <w:r>
              <w:rPr>
                <w:rFonts w:hint="eastAsia" w:hAnsi="宋体" w:cs="Arial"/>
                <w:color w:val="000000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结构形式：</w:t>
            </w:r>
            <w:r>
              <w:rPr>
                <w:rFonts w:hint="eastAsia" w:ascii="宋体" w:hAnsi="宋体"/>
                <w:szCs w:val="21"/>
                <w:lang w:eastAsia="zh-CN"/>
              </w:rPr>
              <w:t>模块化结构、U型梁，全钢结构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传感器技术指标：</w:t>
            </w:r>
            <w:r>
              <w:rPr>
                <w:rFonts w:hint="eastAsia" w:cs="Arial"/>
                <w:szCs w:val="21"/>
                <w:lang w:eastAsia="zh-CN"/>
              </w:rPr>
              <w:t>数字模块有效分辨率100000码；最大信号传输距离1200M综合精度±0.02%F.S；零点平衡±1%F.S；安全过载150%F.S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显示仪表技术指标：</w:t>
            </w:r>
            <w:r>
              <w:rPr>
                <w:rFonts w:hint="eastAsia" w:cs="Arial"/>
                <w:szCs w:val="21"/>
                <w:lang w:eastAsia="zh-CN"/>
              </w:rPr>
              <w:t>精度等级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Ⅲ</w:t>
            </w:r>
            <w:r>
              <w:rPr>
                <w:rFonts w:hint="eastAsia" w:cs="Arial"/>
                <w:szCs w:val="21"/>
                <w:lang w:eastAsia="zh-CN"/>
              </w:rPr>
              <w:t>级，n=3000；分度值1.2.5.10.20.50.100；数字传感器连接数量1-16；数据储存800组；数字传感器接口RS485方式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6.4</w:t>
            </w:r>
            <w:permEnd w:id="21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permEnd w:id="22"/>
    </w:tbl>
    <w:p>
      <w:pPr>
        <w:pStyle w:val="30"/>
        <w:spacing w:after="158" w:afterLines="50"/>
        <w:ind w:firstLine="0" w:firstLineChars="0"/>
        <w:outlineLvl w:val="0"/>
        <w:rPr>
          <w:rFonts w:ascii="Times New Roman" w:hAnsi="Times New Roman"/>
          <w:b/>
        </w:rPr>
      </w:pPr>
      <w:bookmarkStart w:id="22" w:name="_Toc522716122"/>
      <w:bookmarkStart w:id="23" w:name="_Toc522107742"/>
      <w:bookmarkStart w:id="24" w:name="_Toc482359946"/>
      <w:bookmarkStart w:id="25" w:name="_Toc481702480"/>
      <w:bookmarkStart w:id="26" w:name="_Toc483400317"/>
      <w:bookmarkStart w:id="27" w:name="_Toc483227237"/>
      <w:bookmarkStart w:id="28" w:name="_Toc482717202"/>
      <w:bookmarkStart w:id="29" w:name="_Toc482360291"/>
      <w:bookmarkStart w:id="30" w:name="_Toc482370767"/>
      <w:bookmarkStart w:id="31" w:name="_Toc482370151"/>
      <w:bookmarkStart w:id="32" w:name="_Toc482369815"/>
      <w:bookmarkStart w:id="33" w:name="_Toc482625289"/>
      <w:bookmarkStart w:id="34" w:name="_Toc482370359"/>
      <w:bookmarkStart w:id="35" w:name="_Toc482370071"/>
    </w:p>
    <w:p>
      <w:pPr>
        <w:pStyle w:val="30"/>
        <w:spacing w:after="158" w:afterLines="50"/>
        <w:ind w:firstLine="0" w:firstLineChars="0"/>
        <w:outlineLvl w:val="0"/>
        <w:rPr>
          <w:rFonts w:ascii="Times New Roman" w:hAnsi="Times New Roman"/>
          <w:b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电气、自动控制要求</w:t>
      </w:r>
      <w:bookmarkEnd w:id="22"/>
    </w:p>
    <w:p>
      <w:pPr>
        <w:pStyle w:val="34"/>
        <w:spacing w:before="0" w:line="360" w:lineRule="auto"/>
        <w:jc w:val="left"/>
        <w:rPr>
          <w:i/>
          <w:color w:val="4472C4"/>
          <w:szCs w:val="21"/>
          <w:lang w:eastAsia="zh-CN"/>
        </w:rPr>
      </w:pPr>
      <w:permStart w:id="23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3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7.1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7.2</w:t>
            </w:r>
            <w:permEnd w:id="24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</w:tr>
      <w:permEnd w:id="25"/>
    </w:tbl>
    <w:p>
      <w:pPr>
        <w:spacing w:after="158"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6" w:name="_Toc522716123"/>
      <w:r>
        <w:rPr>
          <w:rFonts w:ascii="Times New Roman" w:hAnsi="Times New Roman"/>
          <w:b/>
        </w:rPr>
        <w:t>安全要求</w:t>
      </w:r>
      <w:bookmarkEnd w:id="23"/>
      <w:bookmarkEnd w:id="36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26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6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8.1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电器部分有过载保护的能力。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承载物超重时，仪表界面有超载和欠载报警提示。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8.2</w:t>
            </w:r>
            <w:permEnd w:id="27"/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Ansi="宋体" w:cs="Arial"/>
                <w:color w:val="000000"/>
                <w:lang w:eastAsia="zh-CN"/>
              </w:rPr>
              <w:t>所有电气设备的电线和电缆必须依据IEC标准</w:t>
            </w:r>
            <w:r>
              <w:rPr>
                <w:rFonts w:hint="eastAsia" w:hAnsi="宋体" w:cs="Arial"/>
                <w:color w:val="000000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28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7" w:name="_Toc522107743"/>
      <w:bookmarkStart w:id="38" w:name="_Toc522716124"/>
      <w:r>
        <w:rPr>
          <w:rFonts w:ascii="Times New Roman" w:hAnsi="Times New Roman"/>
          <w:b/>
        </w:rPr>
        <w:t>文件要求</w:t>
      </w:r>
      <w:bookmarkEnd w:id="37"/>
      <w:bookmarkEnd w:id="38"/>
    </w:p>
    <w:p>
      <w:pPr>
        <w:pStyle w:val="34"/>
        <w:spacing w:before="0" w:line="360" w:lineRule="auto"/>
        <w:jc w:val="left"/>
        <w:rPr>
          <w:i/>
          <w:szCs w:val="21"/>
          <w:lang w:eastAsia="zh-CN"/>
        </w:rPr>
      </w:pPr>
      <w:permStart w:id="29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9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投标文件、合同及订单。提交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图纸：设备尺寸图、设备的电气原理图、设备电气连接图、设备技术参数表。</w:t>
            </w:r>
            <w:r>
              <w:rPr>
                <w:rFonts w:hint="eastAsia" w:ascii="宋体" w:hAnsi="宋体"/>
                <w:szCs w:val="21"/>
                <w:lang w:eastAsia="zh-CN"/>
              </w:rPr>
              <w:t>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设备部件清单。</w:t>
            </w:r>
            <w:r>
              <w:rPr>
                <w:rFonts w:hint="eastAsia" w:ascii="宋体" w:hAnsi="宋体"/>
                <w:szCs w:val="21"/>
                <w:lang w:eastAsia="zh-CN"/>
              </w:rPr>
              <w:t>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设备的材质证明书、设备标定证明书。</w:t>
            </w:r>
            <w:r>
              <w:rPr>
                <w:rFonts w:hint="eastAsia" w:ascii="宋体" w:hAnsi="宋体"/>
                <w:szCs w:val="21"/>
                <w:lang w:eastAsia="zh-CN"/>
              </w:rPr>
              <w:t>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设备清单、设备合格证、设备的验证批准日期。</w:t>
            </w:r>
            <w:r>
              <w:rPr>
                <w:rFonts w:hint="eastAsia" w:ascii="宋体" w:hAnsi="宋体"/>
                <w:szCs w:val="21"/>
                <w:lang w:eastAsia="zh-CN"/>
              </w:rPr>
              <w:t>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设备标准操作规程、设备操作的安全注意事项说明书。</w:t>
            </w:r>
            <w:r>
              <w:rPr>
                <w:rFonts w:hint="eastAsia" w:ascii="宋体" w:hAnsi="宋体"/>
                <w:szCs w:val="21"/>
                <w:lang w:eastAsia="zh-CN"/>
              </w:rPr>
              <w:t>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设备预防性维护保养、设备日常维护保养，</w:t>
            </w:r>
            <w:r>
              <w:rPr>
                <w:rFonts w:hAnsi="宋体" w:cs="Arial"/>
                <w:color w:val="000000"/>
                <w:lang w:eastAsia="zh-CN"/>
              </w:rPr>
              <w:t xml:space="preserve"> 使用</w:t>
            </w:r>
            <w:r>
              <w:rPr>
                <w:rFonts w:hint="eastAsia" w:hAnsi="宋体" w:cs="Arial"/>
                <w:color w:val="000000"/>
                <w:lang w:eastAsia="zh-CN"/>
              </w:rPr>
              <w:t>维护手册，翻译为中文。</w:t>
            </w:r>
            <w:r>
              <w:rPr>
                <w:rFonts w:hint="eastAsia" w:ascii="宋体" w:hAnsi="宋体"/>
                <w:szCs w:val="21"/>
                <w:lang w:eastAsia="zh-CN"/>
              </w:rPr>
              <w:t>提交</w:t>
            </w:r>
            <w:r>
              <w:rPr>
                <w:rFonts w:ascii="宋体" w:hAnsi="宋体"/>
                <w:szCs w:val="21"/>
                <w:lang w:eastAsia="zh-CN"/>
              </w:rPr>
              <w:t>时限</w:t>
            </w:r>
            <w:r>
              <w:rPr>
                <w:rFonts w:hint="eastAsia" w:ascii="宋体" w:hAnsi="宋体"/>
                <w:szCs w:val="21"/>
                <w:lang w:eastAsia="zh-CN"/>
              </w:rPr>
              <w:t>:设备开箱验收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int="eastAsia" w:hAnsi="宋体" w:cs="Arial"/>
                <w:color w:val="000000"/>
                <w:lang w:eastAsia="zh-CN"/>
              </w:rPr>
              <w:t>第三方计量证书。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30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9" w:name="_Toc522716125"/>
      <w:r>
        <w:rPr>
          <w:rFonts w:ascii="Times New Roman" w:hAnsi="Times New Roman"/>
          <w:b/>
          <w:szCs w:val="21"/>
        </w:rPr>
        <w:t>服务要求</w:t>
      </w:r>
      <w:bookmarkEnd w:id="39"/>
    </w:p>
    <w:p>
      <w:pPr>
        <w:pStyle w:val="34"/>
        <w:spacing w:before="0" w:line="360" w:lineRule="auto"/>
        <w:jc w:val="left"/>
        <w:rPr>
          <w:i/>
          <w:color w:val="4472C4"/>
          <w:szCs w:val="21"/>
          <w:lang w:eastAsia="zh-CN"/>
        </w:rPr>
      </w:pPr>
      <w:permStart w:id="31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1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000000"/>
                <w:szCs w:val="21"/>
                <w:lang w:eastAsia="zh-CN"/>
              </w:rPr>
              <w:t>知识</w:t>
            </w:r>
            <w:r>
              <w:rPr>
                <w:color w:val="000000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4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10.2</w:t>
            </w:r>
            <w:permEnd w:id="34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10.3</w:t>
            </w:r>
            <w:permEnd w:id="35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N/A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10.4</w:t>
            </w:r>
            <w:permEnd w:id="36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cs="Arial"/>
                <w:color w:val="000000"/>
                <w:lang w:eastAsia="zh-CN"/>
              </w:rPr>
              <w:t>供应商提供的所有货物的质保期至少为12个月（从最终验收调试合格之日起算）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Ansi="宋体" w:cs="Arial"/>
                <w:color w:val="000000"/>
                <w:lang w:eastAsia="zh-CN"/>
              </w:rPr>
              <w:t>在质保期限内，合同中所供货物和工作内容在操作规程内出现任何问题，供应商负责无偿维修或更换。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Ansi="宋体" w:cs="Arial"/>
                <w:color w:val="000000"/>
                <w:lang w:eastAsia="zh-CN"/>
              </w:rPr>
              <w:t>供应商在接到报修或故障电话后，24h内响应，保证期后应提供良好的售后服务。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Ansi="宋体" w:cs="Arial"/>
                <w:color w:val="000000"/>
                <w:lang w:eastAsia="zh-CN"/>
              </w:rPr>
            </w:pPr>
            <w:r>
              <w:rPr>
                <w:rFonts w:hAnsi="宋体" w:cs="Arial"/>
                <w:color w:val="000000"/>
                <w:lang w:eastAsia="zh-CN"/>
              </w:rPr>
              <w:t>供应商提供设备的维护方案。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10.5</w:t>
            </w:r>
            <w:permEnd w:id="38"/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供应商进厂安装需遵守安全和安装规定。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确认并验证合格后，买卖双方签订验收报告。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确认验收合格应包含所有附件及备件。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关键</w:t>
            </w:r>
          </w:p>
        </w:tc>
      </w:t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ermEnd w:id="40"/>
    </w:tbl>
    <w:p>
      <w:pPr>
        <w:rPr>
          <w:lang w:eastAsia="zh-CN"/>
        </w:rPr>
      </w:pPr>
    </w:p>
    <w:sectPr>
      <w:footerReference r:id="rId4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2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382943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splitPgBreakAndParaMark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0A82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17C63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6DEA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1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4BBF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24B2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2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09A5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4237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5F51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411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A29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1FD"/>
    <w:rsid w:val="005E2725"/>
    <w:rsid w:val="005E44CA"/>
    <w:rsid w:val="005E65FA"/>
    <w:rsid w:val="005F19CE"/>
    <w:rsid w:val="005F28F4"/>
    <w:rsid w:val="005F2B60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2717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77F"/>
    <w:rsid w:val="00691F24"/>
    <w:rsid w:val="00693018"/>
    <w:rsid w:val="006A0059"/>
    <w:rsid w:val="006A7425"/>
    <w:rsid w:val="006B058A"/>
    <w:rsid w:val="006B1299"/>
    <w:rsid w:val="006B1DBF"/>
    <w:rsid w:val="006B236E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1E9A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B8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130F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08C1"/>
    <w:rsid w:val="007B1257"/>
    <w:rsid w:val="007B21D6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3D72"/>
    <w:rsid w:val="00806EAB"/>
    <w:rsid w:val="00810E52"/>
    <w:rsid w:val="0081141E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0902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4B0C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1A37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3478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8B8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1AE7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3EE8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02C8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657B5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35FA"/>
    <w:rsid w:val="00BC44F5"/>
    <w:rsid w:val="00BC500B"/>
    <w:rsid w:val="00BC547C"/>
    <w:rsid w:val="00BC6B29"/>
    <w:rsid w:val="00BC798C"/>
    <w:rsid w:val="00BC7D11"/>
    <w:rsid w:val="00BD00FD"/>
    <w:rsid w:val="00BD01EA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201E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571F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3E87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A7648"/>
    <w:rsid w:val="00EB044B"/>
    <w:rsid w:val="00EB067C"/>
    <w:rsid w:val="00EB3C66"/>
    <w:rsid w:val="00EB4B03"/>
    <w:rsid w:val="00EB5DEE"/>
    <w:rsid w:val="00EB64CB"/>
    <w:rsid w:val="00EB6D46"/>
    <w:rsid w:val="00EB79AE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6A3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446E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472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57F8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B1A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1040CF3"/>
    <w:rsid w:val="047A037A"/>
    <w:rsid w:val="06ED6590"/>
    <w:rsid w:val="0E117235"/>
    <w:rsid w:val="16030684"/>
    <w:rsid w:val="1A65566F"/>
    <w:rsid w:val="1A85001C"/>
    <w:rsid w:val="20D77A4C"/>
    <w:rsid w:val="24416871"/>
    <w:rsid w:val="262A693D"/>
    <w:rsid w:val="296C047A"/>
    <w:rsid w:val="2C1265F8"/>
    <w:rsid w:val="2D5508A2"/>
    <w:rsid w:val="2F6B291F"/>
    <w:rsid w:val="30D25A73"/>
    <w:rsid w:val="311D5086"/>
    <w:rsid w:val="344A09CF"/>
    <w:rsid w:val="354C1B54"/>
    <w:rsid w:val="38581297"/>
    <w:rsid w:val="493923F5"/>
    <w:rsid w:val="4AF5547C"/>
    <w:rsid w:val="4E943728"/>
    <w:rsid w:val="4F515953"/>
    <w:rsid w:val="53F51D6D"/>
    <w:rsid w:val="56663E5A"/>
    <w:rsid w:val="5C991FFB"/>
    <w:rsid w:val="6046667E"/>
    <w:rsid w:val="60E454D5"/>
    <w:rsid w:val="617912C7"/>
    <w:rsid w:val="68C24A5F"/>
    <w:rsid w:val="6A112985"/>
    <w:rsid w:val="6EF00EE2"/>
    <w:rsid w:val="70F92780"/>
    <w:rsid w:val="73346408"/>
    <w:rsid w:val="73431136"/>
    <w:rsid w:val="778E46A2"/>
    <w:rsid w:val="78C4044A"/>
    <w:rsid w:val="7BB03999"/>
    <w:rsid w:val="7BB9765B"/>
    <w:rsid w:val="7C054354"/>
    <w:rsid w:val="7FF251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uiPriority w:val="0"/>
    <w:rPr>
      <w:b/>
      <w:bCs/>
    </w:rPr>
  </w:style>
  <w:style w:type="paragraph" w:styleId="7">
    <w:name w:val="annotation text"/>
    <w:basedOn w:val="1"/>
    <w:link w:val="37"/>
    <w:semiHidden/>
    <w:uiPriority w:val="0"/>
  </w:style>
  <w:style w:type="paragraph" w:styleId="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link w:val="38"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6"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eastAsia="zh-CN"/>
    </w:rPr>
  </w:style>
  <w:style w:type="paragraph" w:styleId="17">
    <w:name w:val="toc 2"/>
    <w:basedOn w:val="1"/>
    <w:next w:val="1"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</w:rPr>
  </w:style>
  <w:style w:type="paragraph" w:customStyle="1" w:styleId="26">
    <w:name w:val="Default Text"/>
    <w:basedOn w:val="1"/>
    <w:qFormat/>
    <w:uiPriority w:val="0"/>
    <w:pPr>
      <w:textAlignment w:val="auto"/>
    </w:pPr>
    <w:rPr>
      <w:rFonts w:ascii="Arial" w:hAnsi="Arial"/>
      <w:szCs w:val="24"/>
    </w:rPr>
  </w:style>
  <w:style w:type="paragraph" w:customStyle="1" w:styleId="27">
    <w:name w:val="Style"/>
    <w:basedOn w:val="1"/>
    <w:qFormat/>
    <w:uiPriority w:val="0"/>
    <w:pPr>
      <w:textAlignment w:val="auto"/>
    </w:pPr>
    <w:rPr>
      <w:rFonts w:ascii="Arial" w:hAnsi="Arial"/>
      <w:szCs w:val="24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宋体" w:cs="Times New Roman"/>
      <w:sz w:val="24"/>
      <w:lang w:val="en-US" w:eastAsia="en-US" w:bidi="ar-SA"/>
    </w:rPr>
  </w:style>
  <w:style w:type="paragraph" w:customStyle="1" w:styleId="30">
    <w:name w:val="列表段落1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eastAsia="zh-CN"/>
    </w:rPr>
  </w:style>
  <w:style w:type="paragraph" w:customStyle="1" w:styleId="31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2">
    <w:name w:val="numbering blue"/>
    <w:basedOn w:val="1"/>
    <w:link w:val="41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4">
    <w:name w:val="Text"/>
    <w:basedOn w:val="1"/>
    <w:link w:val="42"/>
    <w:qFormat/>
    <w:uiPriority w:val="0"/>
    <w:pPr>
      <w:adjustRightInd/>
      <w:spacing w:before="120"/>
      <w:jc w:val="both"/>
      <w:textAlignment w:val="auto"/>
    </w:pPr>
  </w:style>
  <w:style w:type="paragraph" w:customStyle="1" w:styleId="35">
    <w:name w:val="Table text"/>
    <w:basedOn w:val="1"/>
    <w:qFormat/>
    <w:uiPriority w:val="0"/>
    <w:pPr>
      <w:adjustRightInd/>
      <w:spacing w:before="120" w:after="120"/>
      <w:jc w:val="both"/>
      <w:textAlignment w:val="auto"/>
    </w:pPr>
  </w:style>
  <w:style w:type="character" w:customStyle="1" w:styleId="36">
    <w:name w:val="页眉 字符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7">
    <w:name w:val="批注文字 字符"/>
    <w:link w:val="7"/>
    <w:semiHidden/>
    <w:qFormat/>
    <w:uiPriority w:val="0"/>
    <w:rPr>
      <w:sz w:val="24"/>
      <w:lang w:eastAsia="en-US"/>
    </w:rPr>
  </w:style>
  <w:style w:type="character" w:customStyle="1" w:styleId="38">
    <w:name w:val="页脚 字符"/>
    <w:link w:val="14"/>
    <w:qFormat/>
    <w:uiPriority w:val="99"/>
    <w:rPr>
      <w:sz w:val="24"/>
      <w:lang w:eastAsia="en-US"/>
    </w:rPr>
  </w:style>
  <w:style w:type="character" w:customStyle="1" w:styleId="39">
    <w:name w:val="instruction standard blue"/>
    <w:qFormat/>
    <w:uiPriority w:val="1"/>
    <w:rPr>
      <w:rFonts w:cs="Arial"/>
      <w:i/>
      <w:color w:val="0070C0"/>
    </w:rPr>
  </w:style>
  <w:style w:type="character" w:customStyle="1" w:styleId="40">
    <w:name w:val="keyword"/>
    <w:basedOn w:val="19"/>
    <w:qFormat/>
    <w:uiPriority w:val="0"/>
    <w:rPr/>
  </w:style>
  <w:style w:type="character" w:customStyle="1" w:styleId="41">
    <w:name w:val="numbering blue Zchn"/>
    <w:link w:val="32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2">
    <w:name w:val="Text Char"/>
    <w:link w:val="34"/>
    <w:qFormat/>
    <w:locked/>
    <w:uiPriority w:val="0"/>
    <w:rPr>
      <w:sz w:val="24"/>
      <w:lang w:eastAsia="en-US"/>
    </w:rPr>
  </w:style>
  <w:style w:type="character" w:customStyle="1" w:styleId="43">
    <w:name w:val="ordinary-span-edit2"/>
    <w:qFormat/>
    <w:uiPriority w:val="0"/>
  </w:style>
  <w:style w:type="character" w:customStyle="1" w:styleId="44">
    <w:name w:val="apple-converted-space"/>
    <w:basedOn w:val="19"/>
    <w:qFormat/>
    <w:uiPriority w:val="0"/>
    <w:rPr/>
  </w:style>
  <w:style w:type="character" w:customStyle="1" w:styleId="45">
    <w:name w:val="标题 字符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Footer Char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10</Pages>
  <Words>572</Words>
  <Characters>3265</Characters>
  <Lines>27</Lines>
  <Paragraphs>7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2020-12-01T03:31:00Z</dcterms:created>
  <dc:creator>Lilly</dc:creator>
  <cp:lastModifiedBy>汪洋</cp:lastModifiedBy>
  <cp:lastPrinted>2020-12-14T04:16:00Z</cp:lastPrinted>
  <dcterms:modified xsi:type="dcterms:W3CDTF">2021-08-30T02:47:40Z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76CC56F10920476EACA843633D0E9C7B</vt:lpwstr>
  </property>
</Properties>
</file>